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5"/>
        <w:ind w:left="0" w:right="361" w:firstLine="0"/>
        <w:jc w:val="center"/>
        <w:rPr>
          <w:rFonts w:ascii="Arial"/>
          <w:b/>
          <w:sz w:val="24"/>
        </w:rPr>
      </w:pPr>
      <w:bookmarkStart w:name="TAB_09_TOTAL_MAXIMUM_DAILY_LOAD_INFORMAT" w:id="1"/>
      <w:bookmarkEnd w:id="1"/>
      <w:r>
        <w:rPr/>
      </w:r>
      <w:r>
        <w:rPr>
          <w:rFonts w:ascii="Arial"/>
          <w:b/>
          <w:sz w:val="24"/>
        </w:rPr>
        <w:t>TOTAL</w:t>
      </w:r>
      <w:r>
        <w:rPr>
          <w:rFonts w:ascii="Arial"/>
          <w:b/>
          <w:spacing w:val="-5"/>
          <w:sz w:val="24"/>
        </w:rPr>
        <w:t> </w:t>
      </w:r>
      <w:r>
        <w:rPr>
          <w:rFonts w:ascii="Arial"/>
          <w:b/>
          <w:sz w:val="24"/>
        </w:rPr>
        <w:t>MAXIMUM</w:t>
      </w:r>
      <w:r>
        <w:rPr>
          <w:rFonts w:ascii="Arial"/>
          <w:b/>
          <w:spacing w:val="-2"/>
          <w:sz w:val="24"/>
        </w:rPr>
        <w:t> </w:t>
      </w:r>
      <w:r>
        <w:rPr>
          <w:rFonts w:ascii="Arial"/>
          <w:b/>
          <w:sz w:val="24"/>
        </w:rPr>
        <w:t>DAILY</w:t>
      </w:r>
      <w:r>
        <w:rPr>
          <w:rFonts w:ascii="Arial"/>
          <w:b/>
          <w:spacing w:val="-3"/>
          <w:sz w:val="24"/>
        </w:rPr>
        <w:t> </w:t>
      </w:r>
      <w:r>
        <w:rPr>
          <w:rFonts w:ascii="Arial"/>
          <w:b/>
          <w:sz w:val="24"/>
        </w:rPr>
        <w:t>LOAD</w:t>
      </w:r>
      <w:r>
        <w:rPr>
          <w:rFonts w:ascii="Arial"/>
          <w:b/>
          <w:spacing w:val="3"/>
          <w:sz w:val="24"/>
        </w:rPr>
        <w:t> </w:t>
      </w:r>
      <w:r>
        <w:rPr>
          <w:rFonts w:ascii="Arial"/>
          <w:b/>
          <w:spacing w:val="-2"/>
          <w:sz w:val="24"/>
        </w:rPr>
        <w:t>INFORMATION</w:t>
      </w:r>
    </w:p>
    <w:p>
      <w:pPr>
        <w:pStyle w:val="BodyText"/>
        <w:spacing w:before="262"/>
        <w:rPr>
          <w:b/>
        </w:rPr>
      </w:pPr>
    </w:p>
    <w:p>
      <w:pPr>
        <w:spacing w:line="230" w:lineRule="auto" w:before="1"/>
        <w:ind w:left="0" w:right="0" w:firstLine="0"/>
        <w:jc w:val="left"/>
        <w:rPr>
          <w:rFonts w:ascii="Arial"/>
          <w:sz w:val="24"/>
        </w:rPr>
      </w:pPr>
      <w:r>
        <w:rPr>
          <w:rFonts w:ascii="Arial"/>
          <w:sz w:val="24"/>
        </w:rPr>
        <w:t>In</w:t>
      </w:r>
      <w:r>
        <w:rPr>
          <w:rFonts w:ascii="Arial"/>
          <w:spacing w:val="28"/>
          <w:sz w:val="24"/>
        </w:rPr>
        <w:t> </w:t>
      </w:r>
      <w:r>
        <w:rPr>
          <w:rFonts w:ascii="Arial"/>
          <w:sz w:val="24"/>
        </w:rPr>
        <w:t>accordance</w:t>
      </w:r>
      <w:r>
        <w:rPr>
          <w:rFonts w:ascii="Arial"/>
          <w:spacing w:val="28"/>
          <w:sz w:val="24"/>
        </w:rPr>
        <w:t> </w:t>
      </w:r>
      <w:r>
        <w:rPr>
          <w:rFonts w:ascii="Arial"/>
          <w:sz w:val="24"/>
        </w:rPr>
        <w:t>with</w:t>
      </w:r>
      <w:r>
        <w:rPr>
          <w:rFonts w:ascii="Arial"/>
          <w:spacing w:val="31"/>
          <w:sz w:val="24"/>
        </w:rPr>
        <w:t> </w:t>
      </w:r>
      <w:r>
        <w:rPr>
          <w:rFonts w:ascii="Arial"/>
          <w:sz w:val="24"/>
        </w:rPr>
        <w:t>Part</w:t>
      </w:r>
      <w:r>
        <w:rPr>
          <w:rFonts w:ascii="Arial"/>
          <w:spacing w:val="25"/>
          <w:sz w:val="24"/>
        </w:rPr>
        <w:t> </w:t>
      </w:r>
      <w:r>
        <w:rPr>
          <w:rFonts w:ascii="Arial"/>
          <w:sz w:val="24"/>
        </w:rPr>
        <w:t>II</w:t>
      </w:r>
      <w:r>
        <w:rPr>
          <w:rFonts w:ascii="Arial"/>
          <w:spacing w:val="25"/>
          <w:sz w:val="24"/>
        </w:rPr>
        <w:t> </w:t>
      </w:r>
      <w:r>
        <w:rPr>
          <w:rFonts w:ascii="Arial"/>
          <w:sz w:val="24"/>
        </w:rPr>
        <w:t>A.5</w:t>
      </w:r>
      <w:r>
        <w:rPr>
          <w:rFonts w:ascii="Arial"/>
          <w:spacing w:val="28"/>
          <w:sz w:val="24"/>
        </w:rPr>
        <w:t> </w:t>
      </w:r>
      <w:r>
        <w:rPr>
          <w:rFonts w:ascii="Arial"/>
          <w:sz w:val="24"/>
        </w:rPr>
        <w:t>of</w:t>
      </w:r>
      <w:r>
        <w:rPr>
          <w:rFonts w:ascii="Arial"/>
          <w:spacing w:val="30"/>
          <w:sz w:val="24"/>
        </w:rPr>
        <w:t> </w:t>
      </w:r>
      <w:r>
        <w:rPr>
          <w:rFonts w:ascii="Arial"/>
          <w:sz w:val="24"/>
        </w:rPr>
        <w:t>the</w:t>
      </w:r>
      <w:r>
        <w:rPr>
          <w:rFonts w:ascii="Arial"/>
          <w:spacing w:val="31"/>
          <w:sz w:val="24"/>
        </w:rPr>
        <w:t> </w:t>
      </w:r>
      <w:r>
        <w:rPr>
          <w:rFonts w:ascii="Arial"/>
          <w:i/>
          <w:sz w:val="24"/>
        </w:rPr>
        <w:t>General</w:t>
      </w:r>
      <w:r>
        <w:rPr>
          <w:rFonts w:ascii="Arial"/>
          <w:i/>
          <w:spacing w:val="28"/>
          <w:sz w:val="24"/>
        </w:rPr>
        <w:t> </w:t>
      </w:r>
      <w:r>
        <w:rPr>
          <w:rFonts w:ascii="Arial"/>
          <w:i/>
          <w:sz w:val="24"/>
        </w:rPr>
        <w:t>VPDES</w:t>
      </w:r>
      <w:r>
        <w:rPr>
          <w:rFonts w:ascii="Arial"/>
          <w:i/>
          <w:spacing w:val="26"/>
          <w:sz w:val="24"/>
        </w:rPr>
        <w:t> </w:t>
      </w:r>
      <w:r>
        <w:rPr>
          <w:rFonts w:ascii="Arial"/>
          <w:i/>
          <w:sz w:val="24"/>
        </w:rPr>
        <w:t>Permit</w:t>
      </w:r>
      <w:r>
        <w:rPr>
          <w:rFonts w:ascii="Arial"/>
          <w:i/>
          <w:spacing w:val="25"/>
          <w:sz w:val="24"/>
        </w:rPr>
        <w:t> </w:t>
      </w:r>
      <w:r>
        <w:rPr>
          <w:rFonts w:ascii="Arial"/>
          <w:i/>
          <w:sz w:val="24"/>
        </w:rPr>
        <w:t>for</w:t>
      </w:r>
      <w:r>
        <w:rPr>
          <w:rFonts w:ascii="Arial"/>
          <w:i/>
          <w:spacing w:val="27"/>
          <w:sz w:val="24"/>
        </w:rPr>
        <w:t> </w:t>
      </w:r>
      <w:r>
        <w:rPr>
          <w:rFonts w:ascii="Arial"/>
          <w:i/>
          <w:sz w:val="24"/>
        </w:rPr>
        <w:t>Discharges</w:t>
      </w:r>
      <w:r>
        <w:rPr>
          <w:rFonts w:ascii="Arial"/>
          <w:i/>
          <w:spacing w:val="27"/>
          <w:sz w:val="24"/>
        </w:rPr>
        <w:t> </w:t>
      </w:r>
      <w:r>
        <w:rPr>
          <w:rFonts w:ascii="Arial"/>
          <w:i/>
          <w:sz w:val="24"/>
        </w:rPr>
        <w:t>of</w:t>
      </w:r>
      <w:r>
        <w:rPr>
          <w:rFonts w:ascii="Arial"/>
          <w:i/>
          <w:sz w:val="24"/>
        </w:rPr>
        <w:t> Stormwater from Construction Activities</w:t>
      </w:r>
      <w:r>
        <w:rPr>
          <w:rFonts w:ascii="Arial"/>
          <w:sz w:val="24"/>
        </w:rPr>
        <w:t>, the SWPPP must:</w:t>
      </w:r>
    </w:p>
    <w:p>
      <w:pPr>
        <w:pStyle w:val="ListParagraph"/>
        <w:numPr>
          <w:ilvl w:val="0"/>
          <w:numId w:val="1"/>
        </w:numPr>
        <w:tabs>
          <w:tab w:pos="1079" w:val="left" w:leader="none"/>
          <w:tab w:pos="1081" w:val="left" w:leader="none"/>
        </w:tabs>
        <w:spacing w:line="235" w:lineRule="auto" w:before="265" w:after="0"/>
        <w:ind w:left="1081" w:right="352" w:hanging="720"/>
        <w:jc w:val="both"/>
        <w:rPr>
          <w:sz w:val="24"/>
        </w:rPr>
      </w:pPr>
      <w:r>
        <w:rPr>
          <w:sz w:val="24"/>
        </w:rPr>
        <w:t>Identify the impaired water(s), approved TMDL(s), pollutants of concern, and exceptional waters identified in 9VAC25-260-30.A.3.c; </w:t>
      </w:r>
      <w:r>
        <w:rPr>
          <w:spacing w:val="-4"/>
          <w:sz w:val="24"/>
        </w:rPr>
        <w:t>and</w:t>
      </w:r>
    </w:p>
    <w:p>
      <w:pPr>
        <w:pStyle w:val="ListParagraph"/>
        <w:numPr>
          <w:ilvl w:val="0"/>
          <w:numId w:val="1"/>
        </w:numPr>
        <w:tabs>
          <w:tab w:pos="1078" w:val="left" w:leader="none"/>
        </w:tabs>
        <w:spacing w:line="263" w:lineRule="exact" w:before="0" w:after="0"/>
        <w:ind w:left="1078" w:right="0" w:hanging="718"/>
        <w:jc w:val="both"/>
        <w:rPr>
          <w:sz w:val="24"/>
        </w:rPr>
      </w:pPr>
      <w:r>
        <w:rPr>
          <w:sz w:val="24"/>
        </w:rPr>
        <w:t>Provide</w:t>
      </w:r>
      <w:r>
        <w:rPr>
          <w:spacing w:val="-4"/>
          <w:sz w:val="24"/>
        </w:rPr>
        <w:t> </w:t>
      </w:r>
      <w:r>
        <w:rPr>
          <w:sz w:val="24"/>
        </w:rPr>
        <w:t>clear</w:t>
      </w:r>
      <w:r>
        <w:rPr>
          <w:spacing w:val="-3"/>
          <w:sz w:val="24"/>
        </w:rPr>
        <w:t> </w:t>
      </w:r>
      <w:r>
        <w:rPr>
          <w:sz w:val="24"/>
        </w:rPr>
        <w:t>direction</w:t>
      </w:r>
      <w:r>
        <w:rPr>
          <w:spacing w:val="-3"/>
          <w:sz w:val="24"/>
        </w:rPr>
        <w:t> </w:t>
      </w:r>
      <w:r>
        <w:rPr>
          <w:spacing w:val="-4"/>
          <w:sz w:val="24"/>
        </w:rPr>
        <w:t>that:</w:t>
      </w:r>
    </w:p>
    <w:p>
      <w:pPr>
        <w:pStyle w:val="ListParagraph"/>
        <w:numPr>
          <w:ilvl w:val="1"/>
          <w:numId w:val="1"/>
        </w:numPr>
        <w:tabs>
          <w:tab w:pos="1439" w:val="left" w:leader="none"/>
          <w:tab w:pos="1441" w:val="left" w:leader="none"/>
        </w:tabs>
        <w:spacing w:line="232" w:lineRule="auto" w:before="4" w:after="0"/>
        <w:ind w:left="1441" w:right="358" w:hanging="361"/>
        <w:jc w:val="both"/>
        <w:rPr>
          <w:sz w:val="24"/>
        </w:rPr>
      </w:pPr>
      <w:r>
        <w:rPr>
          <w:sz w:val="24"/>
        </w:rPr>
        <w:t>Permanent or temporary soil stabilization shall be applied to denuded areas within seven days after final grade is reached on any portion of the site;</w:t>
      </w:r>
    </w:p>
    <w:p>
      <w:pPr>
        <w:pStyle w:val="ListParagraph"/>
        <w:numPr>
          <w:ilvl w:val="1"/>
          <w:numId w:val="1"/>
        </w:numPr>
        <w:tabs>
          <w:tab w:pos="1439" w:val="left" w:leader="none"/>
          <w:tab w:pos="1441" w:val="left" w:leader="none"/>
        </w:tabs>
        <w:spacing w:line="232" w:lineRule="auto" w:before="2" w:after="0"/>
        <w:ind w:left="1441" w:right="358" w:hanging="361"/>
        <w:jc w:val="both"/>
        <w:rPr>
          <w:sz w:val="24"/>
        </w:rPr>
      </w:pPr>
      <w:r>
        <w:rPr>
          <w:sz w:val="24"/>
        </w:rPr>
        <w:t>Nutrients shall be applied in accordance with manufacturer’s recommendations or an approved nutrient management plan and shall not be applied during rainfall events; and</w:t>
      </w:r>
    </w:p>
    <w:p>
      <w:pPr>
        <w:pStyle w:val="ListParagraph"/>
        <w:numPr>
          <w:ilvl w:val="1"/>
          <w:numId w:val="1"/>
        </w:numPr>
        <w:tabs>
          <w:tab w:pos="1439" w:val="left" w:leader="none"/>
          <w:tab w:pos="1441" w:val="left" w:leader="none"/>
        </w:tabs>
        <w:spacing w:line="232" w:lineRule="auto" w:before="2" w:after="0"/>
        <w:ind w:left="1441" w:right="350" w:hanging="361"/>
        <w:jc w:val="both"/>
        <w:rPr>
          <w:i/>
          <w:sz w:val="24"/>
        </w:rPr>
      </w:pPr>
      <w:r>
        <w:rPr>
          <w:sz w:val="24"/>
        </w:rPr>
        <w:t>A modified inspection schedule shall be implemented in</w:t>
      </w:r>
      <w:r>
        <w:rPr>
          <w:spacing w:val="80"/>
          <w:sz w:val="24"/>
        </w:rPr>
        <w:t> </w:t>
      </w:r>
      <w:r>
        <w:rPr>
          <w:sz w:val="24"/>
        </w:rPr>
        <w:t>accordance with Part I B.4 or Part I B.5 of the </w:t>
      </w:r>
      <w:r>
        <w:rPr>
          <w:i/>
          <w:sz w:val="24"/>
        </w:rPr>
        <w:t>General VPDES</w:t>
      </w:r>
      <w:r>
        <w:rPr>
          <w:i/>
          <w:sz w:val="24"/>
        </w:rPr>
        <w:t> Permit for Discharges of Stormwater from Construction Activities.</w:t>
      </w:r>
    </w:p>
    <w:p>
      <w:pPr>
        <w:pStyle w:val="BodyText"/>
        <w:spacing w:before="260"/>
      </w:pPr>
      <w:r>
        <w:rPr/>
        <w:t>The</w:t>
      </w:r>
      <w:r>
        <w:rPr>
          <w:spacing w:val="-3"/>
        </w:rPr>
        <w:t> </w:t>
      </w:r>
      <w:r>
        <w:rPr/>
        <w:t>information</w:t>
      </w:r>
      <w:r>
        <w:rPr>
          <w:spacing w:val="-2"/>
        </w:rPr>
        <w:t> </w:t>
      </w:r>
      <w:r>
        <w:rPr/>
        <w:t>required</w:t>
      </w:r>
      <w:r>
        <w:rPr>
          <w:spacing w:val="-2"/>
        </w:rPr>
        <w:t> </w:t>
      </w:r>
      <w:r>
        <w:rPr/>
        <w:t>by</w:t>
      </w:r>
      <w:r>
        <w:rPr>
          <w:spacing w:val="-3"/>
        </w:rPr>
        <w:t> </w:t>
      </w:r>
      <w:r>
        <w:rPr/>
        <w:t>Item</w:t>
      </w:r>
      <w:r>
        <w:rPr>
          <w:spacing w:val="-3"/>
        </w:rPr>
        <w:t> </w:t>
      </w:r>
      <w:r>
        <w:rPr/>
        <w:t>1</w:t>
      </w:r>
      <w:r>
        <w:rPr>
          <w:spacing w:val="-2"/>
        </w:rPr>
        <w:t> </w:t>
      </w:r>
      <w:r>
        <w:rPr/>
        <w:t>can</w:t>
      </w:r>
      <w:r>
        <w:rPr>
          <w:spacing w:val="-2"/>
        </w:rPr>
        <w:t> </w:t>
      </w:r>
      <w:r>
        <w:rPr/>
        <w:t>be</w:t>
      </w:r>
      <w:r>
        <w:rPr>
          <w:spacing w:val="-3"/>
        </w:rPr>
        <w:t> </w:t>
      </w:r>
      <w:r>
        <w:rPr/>
        <w:t>found</w:t>
      </w:r>
      <w:r>
        <w:rPr>
          <w:spacing w:val="-2"/>
        </w:rPr>
        <w:t> </w:t>
      </w:r>
      <w:r>
        <w:rPr/>
        <w:t>in</w:t>
      </w:r>
      <w:r>
        <w:rPr>
          <w:spacing w:val="-2"/>
        </w:rPr>
        <w:t> </w:t>
      </w:r>
      <w:r>
        <w:rPr/>
        <w:t>Table</w:t>
      </w:r>
      <w:r>
        <w:rPr>
          <w:spacing w:val="-2"/>
        </w:rPr>
        <w:t> </w:t>
      </w:r>
      <w:r>
        <w:rPr/>
        <w:t>9.1</w:t>
      </w:r>
      <w:r>
        <w:rPr>
          <w:spacing w:val="5"/>
        </w:rPr>
        <w:t> </w:t>
      </w:r>
      <w:r>
        <w:rPr/>
        <w:t>and</w:t>
      </w:r>
      <w:r>
        <w:rPr>
          <w:spacing w:val="-2"/>
        </w:rPr>
        <w:t> </w:t>
      </w:r>
      <w:r>
        <w:rPr>
          <w:spacing w:val="-4"/>
        </w:rPr>
        <w:t>9.2.</w:t>
      </w:r>
    </w:p>
    <w:p>
      <w:pPr>
        <w:pStyle w:val="BodyText"/>
        <w:spacing w:line="235" w:lineRule="auto" w:before="264"/>
      </w:pPr>
      <w:r>
        <w:rPr/>
        <w:t>The</w:t>
      </w:r>
      <w:r>
        <w:rPr>
          <w:spacing w:val="33"/>
        </w:rPr>
        <w:t> </w:t>
      </w:r>
      <w:r>
        <w:rPr/>
        <w:t>information</w:t>
      </w:r>
      <w:r>
        <w:rPr>
          <w:spacing w:val="33"/>
        </w:rPr>
        <w:t> </w:t>
      </w:r>
      <w:r>
        <w:rPr/>
        <w:t>required</w:t>
      </w:r>
      <w:r>
        <w:rPr>
          <w:spacing w:val="33"/>
        </w:rPr>
        <w:t> </w:t>
      </w:r>
      <w:r>
        <w:rPr/>
        <w:t>by</w:t>
      </w:r>
      <w:r>
        <w:rPr>
          <w:spacing w:val="33"/>
        </w:rPr>
        <w:t> </w:t>
      </w:r>
      <w:r>
        <w:rPr/>
        <w:t>Items</w:t>
      </w:r>
      <w:r>
        <w:rPr>
          <w:spacing w:val="33"/>
        </w:rPr>
        <w:t> </w:t>
      </w:r>
      <w:r>
        <w:rPr/>
        <w:t>2.a</w:t>
      </w:r>
      <w:r>
        <w:rPr>
          <w:spacing w:val="33"/>
        </w:rPr>
        <w:t> </w:t>
      </w:r>
      <w:r>
        <w:rPr/>
        <w:t>and</w:t>
      </w:r>
      <w:r>
        <w:rPr>
          <w:spacing w:val="33"/>
        </w:rPr>
        <w:t> </w:t>
      </w:r>
      <w:r>
        <w:rPr/>
        <w:t>2.b</w:t>
      </w:r>
      <w:r>
        <w:rPr>
          <w:spacing w:val="38"/>
        </w:rPr>
        <w:t> </w:t>
      </w:r>
      <w:r>
        <w:rPr/>
        <w:t>can</w:t>
      </w:r>
      <w:r>
        <w:rPr>
          <w:spacing w:val="33"/>
        </w:rPr>
        <w:t> </w:t>
      </w:r>
      <w:r>
        <w:rPr/>
        <w:t>be</w:t>
      </w:r>
      <w:r>
        <w:rPr>
          <w:spacing w:val="33"/>
        </w:rPr>
        <w:t> </w:t>
      </w:r>
      <w:r>
        <w:rPr/>
        <w:t>found</w:t>
      </w:r>
      <w:r>
        <w:rPr>
          <w:spacing w:val="33"/>
        </w:rPr>
        <w:t> </w:t>
      </w:r>
      <w:r>
        <w:rPr/>
        <w:t>on</w:t>
      </w:r>
      <w:r>
        <w:rPr>
          <w:spacing w:val="33"/>
        </w:rPr>
        <w:t> </w:t>
      </w:r>
      <w:r>
        <w:rPr/>
        <w:t>the</w:t>
      </w:r>
      <w:r>
        <w:rPr>
          <w:spacing w:val="33"/>
        </w:rPr>
        <w:t> </w:t>
      </w:r>
      <w:r>
        <w:rPr/>
        <w:t>ESC</w:t>
      </w:r>
      <w:r>
        <w:rPr>
          <w:spacing w:val="38"/>
        </w:rPr>
        <w:t> </w:t>
      </w:r>
      <w:r>
        <w:rPr/>
        <w:t>plan sheet included as a required component of the SDP.</w:t>
      </w:r>
    </w:p>
    <w:p>
      <w:pPr>
        <w:pStyle w:val="BodyText"/>
        <w:tabs>
          <w:tab w:pos="825" w:val="left" w:leader="none"/>
          <w:tab w:pos="1794" w:val="left" w:leader="none"/>
          <w:tab w:pos="3033" w:val="left" w:leader="none"/>
          <w:tab w:pos="3628" w:val="left" w:leader="none"/>
          <w:tab w:pos="4102" w:val="left" w:leader="none"/>
          <w:tab w:pos="5321" w:val="left" w:leader="none"/>
          <w:tab w:pos="6855" w:val="left" w:leader="none"/>
          <w:tab w:pos="7395" w:val="left" w:leader="none"/>
          <w:tab w:pos="8078" w:val="left" w:leader="none"/>
        </w:tabs>
        <w:spacing w:line="235" w:lineRule="auto" w:before="264"/>
        <w:ind w:right="355"/>
      </w:pPr>
      <w:r>
        <w:rPr/>
        <w:t>The</w:t>
      </w:r>
      <w:r>
        <w:rPr>
          <w:spacing w:val="30"/>
        </w:rPr>
        <w:t> </w:t>
      </w:r>
      <w:r>
        <w:rPr/>
        <w:t>information</w:t>
      </w:r>
      <w:r>
        <w:rPr>
          <w:spacing w:val="30"/>
        </w:rPr>
        <w:t> </w:t>
      </w:r>
      <w:r>
        <w:rPr/>
        <w:t>required</w:t>
      </w:r>
      <w:r>
        <w:rPr>
          <w:spacing w:val="30"/>
        </w:rPr>
        <w:t> </w:t>
      </w:r>
      <w:r>
        <w:rPr/>
        <w:t>by</w:t>
      </w:r>
      <w:r>
        <w:rPr>
          <w:spacing w:val="30"/>
        </w:rPr>
        <w:t> </w:t>
      </w:r>
      <w:r>
        <w:rPr/>
        <w:t>Item</w:t>
      </w:r>
      <w:r>
        <w:rPr>
          <w:spacing w:val="30"/>
        </w:rPr>
        <w:t> </w:t>
      </w:r>
      <w:r>
        <w:rPr/>
        <w:t>2.c</w:t>
      </w:r>
      <w:r>
        <w:rPr>
          <w:spacing w:val="34"/>
        </w:rPr>
        <w:t> </w:t>
      </w:r>
      <w:r>
        <w:rPr/>
        <w:t>can</w:t>
      </w:r>
      <w:r>
        <w:rPr>
          <w:spacing w:val="30"/>
        </w:rPr>
        <w:t> </w:t>
      </w:r>
      <w:r>
        <w:rPr/>
        <w:t>be</w:t>
      </w:r>
      <w:r>
        <w:rPr>
          <w:spacing w:val="26"/>
        </w:rPr>
        <w:t> </w:t>
      </w:r>
      <w:r>
        <w:rPr/>
        <w:t>found</w:t>
      </w:r>
      <w:r>
        <w:rPr>
          <w:spacing w:val="26"/>
        </w:rPr>
        <w:t> </w:t>
      </w:r>
      <w:r>
        <w:rPr/>
        <w:t>on</w:t>
      </w:r>
      <w:r>
        <w:rPr>
          <w:spacing w:val="30"/>
        </w:rPr>
        <w:t> </w:t>
      </w:r>
      <w:r>
        <w:rPr/>
        <w:t>the</w:t>
      </w:r>
      <w:r>
        <w:rPr>
          <w:spacing w:val="30"/>
        </w:rPr>
        <w:t> </w:t>
      </w:r>
      <w:r>
        <w:rPr/>
        <w:t>Pollution</w:t>
      </w:r>
      <w:r>
        <w:rPr>
          <w:spacing w:val="30"/>
        </w:rPr>
        <w:t> </w:t>
      </w:r>
      <w:r>
        <w:rPr/>
        <w:t>Prevention </w:t>
      </w:r>
      <w:r>
        <w:rPr>
          <w:spacing w:val="-4"/>
        </w:rPr>
        <w:t>Plan</w:t>
      </w:r>
      <w:r>
        <w:rPr/>
        <w:tab/>
      </w:r>
      <w:r>
        <w:rPr>
          <w:spacing w:val="-2"/>
        </w:rPr>
        <w:t>Sheet</w:t>
      </w:r>
      <w:r>
        <w:rPr/>
        <w:tab/>
      </w:r>
      <w:r>
        <w:rPr>
          <w:spacing w:val="-2"/>
        </w:rPr>
        <w:t>included</w:t>
      </w:r>
      <w:r>
        <w:rPr/>
        <w:tab/>
      </w:r>
      <w:r>
        <w:rPr>
          <w:spacing w:val="-5"/>
        </w:rPr>
        <w:t>as</w:t>
      </w:r>
      <w:r>
        <w:rPr/>
        <w:tab/>
      </w:r>
      <w:r>
        <w:rPr>
          <w:spacing w:val="-10"/>
        </w:rPr>
        <w:t>a</w:t>
      </w:r>
      <w:r>
        <w:rPr/>
        <w:tab/>
      </w:r>
      <w:r>
        <w:rPr>
          <w:spacing w:val="-2"/>
        </w:rPr>
        <w:t>required</w:t>
      </w:r>
      <w:r>
        <w:rPr/>
        <w:tab/>
      </w:r>
      <w:r>
        <w:rPr>
          <w:spacing w:val="-2"/>
        </w:rPr>
        <w:t>component</w:t>
      </w:r>
      <w:r>
        <w:rPr/>
        <w:tab/>
      </w:r>
      <w:r>
        <w:rPr>
          <w:spacing w:val="-5"/>
        </w:rPr>
        <w:t>of</w:t>
      </w:r>
      <w:r>
        <w:rPr/>
        <w:tab/>
      </w:r>
      <w:r>
        <w:rPr>
          <w:spacing w:val="-5"/>
        </w:rPr>
        <w:t>the</w:t>
      </w:r>
      <w:r>
        <w:rPr/>
        <w:tab/>
      </w:r>
      <w:r>
        <w:rPr>
          <w:spacing w:val="-4"/>
        </w:rPr>
        <w:t>SDP.</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7"/>
      </w:pPr>
    </w:p>
    <w:p>
      <w:pPr>
        <w:pStyle w:val="BodyText"/>
        <w:tabs>
          <w:tab w:pos="7558" w:val="left" w:leader="none"/>
        </w:tabs>
        <w:rPr>
          <w:rFonts w:ascii="Times New Roman"/>
          <w:b/>
        </w:rPr>
      </w:pPr>
      <w:r>
        <w:rPr>
          <w:rFonts w:ascii="Times New Roman"/>
        </w:rPr>
        <w:t>July</w:t>
      </w:r>
      <w:r>
        <w:rPr>
          <w:rFonts w:ascii="Times New Roman"/>
          <w:spacing w:val="-1"/>
        </w:rPr>
        <w:t> </w:t>
      </w:r>
      <w:r>
        <w:rPr>
          <w:rFonts w:ascii="Times New Roman"/>
          <w:spacing w:val="-4"/>
        </w:rPr>
        <w:t>2024</w:t>
      </w:r>
      <w:r>
        <w:rPr>
          <w:rFonts w:ascii="Times New Roman"/>
        </w:rPr>
        <w:tab/>
        <w:t>Page</w:t>
      </w:r>
      <w:r>
        <w:rPr>
          <w:rFonts w:ascii="Times New Roman"/>
          <w:spacing w:val="-5"/>
        </w:rPr>
        <w:t> </w:t>
      </w:r>
      <w:r>
        <w:rPr>
          <w:rFonts w:ascii="Times New Roman"/>
          <w:b/>
        </w:rPr>
        <w:t>1 </w:t>
      </w:r>
      <w:r>
        <w:rPr>
          <w:rFonts w:ascii="Times New Roman"/>
        </w:rPr>
        <w:t>of </w:t>
      </w:r>
      <w:r>
        <w:rPr>
          <w:rFonts w:ascii="Times New Roman"/>
          <w:b/>
          <w:spacing w:val="-10"/>
        </w:rPr>
        <w:t>3</w:t>
      </w:r>
    </w:p>
    <w:p>
      <w:pPr>
        <w:pStyle w:val="BodyText"/>
        <w:spacing w:after="0"/>
        <w:rPr>
          <w:rFonts w:ascii="Times New Roman"/>
          <w:b/>
        </w:rPr>
        <w:sectPr>
          <w:type w:val="continuous"/>
          <w:pgSz w:w="12240" w:h="15840"/>
          <w:pgMar w:top="1360" w:bottom="280" w:left="1800" w:right="1440"/>
        </w:sectPr>
      </w:pPr>
    </w:p>
    <w:p>
      <w:pPr>
        <w:spacing w:line="240" w:lineRule="auto" w:before="139"/>
        <w:rPr>
          <w:b/>
          <w:sz w:val="24"/>
        </w:rPr>
      </w:pPr>
    </w:p>
    <w:p>
      <w:pPr>
        <w:pStyle w:val="BodyText"/>
        <w:spacing w:before="1"/>
        <w:ind w:right="66"/>
        <w:jc w:val="center"/>
      </w:pPr>
      <w:r>
        <w:rPr/>
        <w:t>Table</w:t>
      </w:r>
      <w:r>
        <w:rPr>
          <w:spacing w:val="-4"/>
        </w:rPr>
        <w:t> </w:t>
      </w:r>
      <w:r>
        <w:rPr/>
        <w:t>9.1 –</w:t>
      </w:r>
      <w:r>
        <w:rPr>
          <w:spacing w:val="-2"/>
        </w:rPr>
        <w:t> </w:t>
      </w:r>
      <w:r>
        <w:rPr/>
        <w:t>Identification</w:t>
      </w:r>
      <w:r>
        <w:rPr>
          <w:spacing w:val="-2"/>
        </w:rPr>
        <w:t> </w:t>
      </w:r>
      <w:r>
        <w:rPr/>
        <w:t>of</w:t>
      </w:r>
      <w:r>
        <w:rPr>
          <w:spacing w:val="-5"/>
        </w:rPr>
        <w:t> </w:t>
      </w:r>
      <w:r>
        <w:rPr/>
        <w:t>the</w:t>
      </w:r>
      <w:r>
        <w:rPr>
          <w:spacing w:val="-2"/>
        </w:rPr>
        <w:t> </w:t>
      </w:r>
      <w:r>
        <w:rPr/>
        <w:t>Impaired</w:t>
      </w:r>
      <w:r>
        <w:rPr>
          <w:spacing w:val="-2"/>
        </w:rPr>
        <w:t> </w:t>
      </w:r>
      <w:r>
        <w:rPr/>
        <w:t>Waters</w:t>
      </w:r>
      <w:r>
        <w:rPr>
          <w:spacing w:val="-8"/>
        </w:rPr>
        <w:t> </w:t>
      </w:r>
      <w:r>
        <w:rPr/>
        <w:t>the</w:t>
      </w:r>
      <w:r>
        <w:rPr>
          <w:spacing w:val="-2"/>
        </w:rPr>
        <w:t> </w:t>
      </w:r>
      <w:r>
        <w:rPr/>
        <w:t>Project</w:t>
      </w:r>
      <w:r>
        <w:rPr>
          <w:spacing w:val="-5"/>
        </w:rPr>
        <w:t> </w:t>
      </w:r>
      <w:r>
        <w:rPr/>
        <w:t>Discharges</w:t>
      </w:r>
      <w:r>
        <w:rPr>
          <w:spacing w:val="-2"/>
        </w:rPr>
        <w:t> Into:</w:t>
      </w:r>
    </w:p>
    <w:p>
      <w:pPr>
        <w:pStyle w:val="BodyText"/>
        <w:rPr>
          <w:sz w:val="20"/>
        </w:rPr>
      </w:pPr>
    </w:p>
    <w:p>
      <w:pPr>
        <w:pStyle w:val="BodyText"/>
        <w:spacing w:before="74"/>
        <w:rPr>
          <w:sz w:val="20"/>
        </w:r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1"/>
        <w:gridCol w:w="5762"/>
        <w:gridCol w:w="3241"/>
        <w:gridCol w:w="2161"/>
      </w:tblGrid>
      <w:tr>
        <w:trPr>
          <w:trHeight w:val="670" w:hRule="atLeast"/>
        </w:trPr>
        <w:tc>
          <w:tcPr>
            <w:tcW w:w="2451" w:type="dxa"/>
            <w:shd w:val="clear" w:color="auto" w:fill="DFDFDF"/>
          </w:tcPr>
          <w:p>
            <w:pPr>
              <w:pStyle w:val="TableParagraph"/>
              <w:spacing w:before="217"/>
              <w:ind w:left="705"/>
              <w:rPr>
                <w:rFonts w:ascii="Arial"/>
                <w:b/>
                <w:sz w:val="20"/>
              </w:rPr>
            </w:pPr>
            <w:r>
              <w:rPr>
                <w:rFonts w:ascii="Arial"/>
                <w:b/>
                <w:spacing w:val="-2"/>
                <w:sz w:val="20"/>
              </w:rPr>
              <w:t>Waterbody</w:t>
            </w:r>
          </w:p>
        </w:tc>
        <w:tc>
          <w:tcPr>
            <w:tcW w:w="5762" w:type="dxa"/>
            <w:shd w:val="clear" w:color="auto" w:fill="DFDFDF"/>
          </w:tcPr>
          <w:p>
            <w:pPr>
              <w:pStyle w:val="TableParagraph"/>
              <w:spacing w:before="217"/>
              <w:jc w:val="center"/>
              <w:rPr>
                <w:rFonts w:ascii="Arial"/>
                <w:b/>
                <w:sz w:val="20"/>
              </w:rPr>
            </w:pPr>
            <w:r>
              <w:rPr>
                <w:rFonts w:ascii="Arial"/>
                <w:b/>
                <w:sz w:val="20"/>
              </w:rPr>
              <w:t>Location</w:t>
            </w:r>
            <w:r>
              <w:rPr>
                <w:rFonts w:ascii="Arial"/>
                <w:b/>
                <w:spacing w:val="-6"/>
                <w:sz w:val="20"/>
              </w:rPr>
              <w:t> </w:t>
            </w:r>
            <w:r>
              <w:rPr>
                <w:rFonts w:ascii="Arial"/>
                <w:b/>
                <w:sz w:val="20"/>
              </w:rPr>
              <w:t>/</w:t>
            </w:r>
            <w:r>
              <w:rPr>
                <w:rFonts w:ascii="Arial"/>
                <w:b/>
                <w:spacing w:val="-4"/>
                <w:sz w:val="20"/>
              </w:rPr>
              <w:t> </w:t>
            </w:r>
            <w:r>
              <w:rPr>
                <w:rFonts w:ascii="Arial"/>
                <w:b/>
                <w:spacing w:val="-2"/>
                <w:sz w:val="20"/>
              </w:rPr>
              <w:t>Length</w:t>
            </w:r>
          </w:p>
        </w:tc>
        <w:tc>
          <w:tcPr>
            <w:tcW w:w="3241" w:type="dxa"/>
            <w:shd w:val="clear" w:color="auto" w:fill="DFDFDF"/>
          </w:tcPr>
          <w:p>
            <w:pPr>
              <w:pStyle w:val="TableParagraph"/>
              <w:spacing w:before="217"/>
              <w:ind w:left="634"/>
              <w:rPr>
                <w:rFonts w:ascii="Arial"/>
                <w:b/>
                <w:sz w:val="20"/>
              </w:rPr>
            </w:pPr>
            <w:r>
              <w:rPr>
                <w:rFonts w:ascii="Arial"/>
                <w:b/>
                <w:sz w:val="20"/>
              </w:rPr>
              <w:t>Pollutant</w:t>
            </w:r>
            <w:r>
              <w:rPr>
                <w:rFonts w:ascii="Arial"/>
                <w:b/>
                <w:spacing w:val="-5"/>
                <w:sz w:val="20"/>
              </w:rPr>
              <w:t> </w:t>
            </w:r>
            <w:r>
              <w:rPr>
                <w:rFonts w:ascii="Arial"/>
                <w:b/>
                <w:sz w:val="20"/>
              </w:rPr>
              <w:t>of</w:t>
            </w:r>
            <w:r>
              <w:rPr>
                <w:rFonts w:ascii="Arial"/>
                <w:b/>
                <w:spacing w:val="-7"/>
                <w:sz w:val="20"/>
              </w:rPr>
              <w:t> </w:t>
            </w:r>
            <w:r>
              <w:rPr>
                <w:rFonts w:ascii="Arial"/>
                <w:b/>
                <w:spacing w:val="-2"/>
                <w:sz w:val="20"/>
              </w:rPr>
              <w:t>Concern</w:t>
            </w:r>
          </w:p>
        </w:tc>
        <w:tc>
          <w:tcPr>
            <w:tcW w:w="2161" w:type="dxa"/>
            <w:shd w:val="clear" w:color="auto" w:fill="DFDFDF"/>
          </w:tcPr>
          <w:p>
            <w:pPr>
              <w:pStyle w:val="TableParagraph"/>
              <w:spacing w:line="230" w:lineRule="auto" w:before="5"/>
              <w:ind w:left="6" w:right="4"/>
              <w:jc w:val="center"/>
              <w:rPr>
                <w:rFonts w:ascii="Arial"/>
                <w:b/>
                <w:sz w:val="20"/>
              </w:rPr>
            </w:pPr>
            <w:r>
              <w:rPr>
                <w:rFonts w:ascii="Arial"/>
                <w:b/>
                <w:sz w:val="20"/>
              </w:rPr>
              <w:t>Check</w:t>
            </w:r>
            <w:r>
              <w:rPr>
                <w:rFonts w:ascii="Arial"/>
                <w:b/>
                <w:spacing w:val="-14"/>
                <w:sz w:val="20"/>
              </w:rPr>
              <w:t> </w:t>
            </w:r>
            <w:r>
              <w:rPr>
                <w:rFonts w:ascii="Arial"/>
                <w:b/>
                <w:sz w:val="20"/>
              </w:rPr>
              <w:t>if</w:t>
            </w:r>
            <w:r>
              <w:rPr>
                <w:rFonts w:ascii="Arial"/>
                <w:b/>
                <w:spacing w:val="-14"/>
                <w:sz w:val="20"/>
              </w:rPr>
              <w:t> </w:t>
            </w:r>
            <w:r>
              <w:rPr>
                <w:rFonts w:ascii="Arial"/>
                <w:b/>
                <w:sz w:val="20"/>
              </w:rPr>
              <w:t>the</w:t>
            </w:r>
            <w:r>
              <w:rPr>
                <w:rFonts w:ascii="Arial"/>
                <w:b/>
                <w:spacing w:val="-14"/>
                <w:sz w:val="20"/>
              </w:rPr>
              <w:t> </w:t>
            </w:r>
            <w:r>
              <w:rPr>
                <w:rFonts w:ascii="Arial"/>
                <w:b/>
                <w:sz w:val="20"/>
              </w:rPr>
              <w:t>project discharge to the</w:t>
            </w:r>
          </w:p>
          <w:p>
            <w:pPr>
              <w:pStyle w:val="TableParagraph"/>
              <w:spacing w:line="204" w:lineRule="exact"/>
              <w:ind w:left="2" w:right="6"/>
              <w:jc w:val="center"/>
              <w:rPr>
                <w:rFonts w:ascii="Arial"/>
                <w:b/>
                <w:sz w:val="20"/>
              </w:rPr>
            </w:pPr>
            <w:r>
              <w:rPr>
                <w:rFonts w:ascii="Arial"/>
                <w:b/>
                <w:spacing w:val="-2"/>
                <w:sz w:val="20"/>
              </w:rPr>
              <w:t>waterbody</w:t>
            </w:r>
          </w:p>
        </w:tc>
      </w:tr>
      <w:tr>
        <w:trPr>
          <w:trHeight w:val="420" w:hRule="atLeast"/>
        </w:trPr>
        <w:tc>
          <w:tcPr>
            <w:tcW w:w="2451" w:type="dxa"/>
          </w:tcPr>
          <w:p>
            <w:pPr>
              <w:pStyle w:val="TableParagraph"/>
              <w:rPr>
                <w:sz w:val="20"/>
              </w:rPr>
            </w:pPr>
          </w:p>
        </w:tc>
        <w:tc>
          <w:tcPr>
            <w:tcW w:w="5762" w:type="dxa"/>
          </w:tcPr>
          <w:p>
            <w:pPr>
              <w:pStyle w:val="TableParagraph"/>
              <w:rPr>
                <w:sz w:val="20"/>
              </w:rPr>
            </w:pPr>
          </w:p>
        </w:tc>
        <w:tc>
          <w:tcPr>
            <w:tcW w:w="3241" w:type="dxa"/>
          </w:tcPr>
          <w:p>
            <w:pPr>
              <w:pStyle w:val="TableParagraph"/>
              <w:rPr>
                <w:sz w:val="20"/>
              </w:rPr>
            </w:pPr>
          </w:p>
        </w:tc>
        <w:tc>
          <w:tcPr>
            <w:tcW w:w="2161" w:type="dxa"/>
          </w:tcPr>
          <w:p>
            <w:pPr>
              <w:pStyle w:val="TableParagraph"/>
              <w:spacing w:before="110"/>
              <w:ind w:left="3" w:right="4"/>
              <w:jc w:val="center"/>
              <w:rPr>
                <w:rFonts w:ascii="Webdings" w:hAnsi="Webdings"/>
                <w:sz w:val="20"/>
              </w:rPr>
            </w:pPr>
            <w:r>
              <w:rPr>
                <w:rFonts w:ascii="Webdings" w:hAnsi="Webdings"/>
                <w:color w:val="000000"/>
                <w:spacing w:val="-10"/>
                <w:sz w:val="20"/>
                <w:shd w:fill="FFFF99" w:color="auto" w:val="clear"/>
              </w:rPr>
              <w:t></w:t>
            </w:r>
          </w:p>
        </w:tc>
      </w:tr>
      <w:tr>
        <w:trPr>
          <w:trHeight w:val="420" w:hRule="atLeast"/>
        </w:trPr>
        <w:tc>
          <w:tcPr>
            <w:tcW w:w="2451" w:type="dxa"/>
          </w:tcPr>
          <w:p>
            <w:pPr>
              <w:pStyle w:val="TableParagraph"/>
              <w:rPr>
                <w:sz w:val="20"/>
              </w:rPr>
            </w:pPr>
          </w:p>
        </w:tc>
        <w:tc>
          <w:tcPr>
            <w:tcW w:w="5762" w:type="dxa"/>
          </w:tcPr>
          <w:p>
            <w:pPr>
              <w:pStyle w:val="TableParagraph"/>
              <w:rPr>
                <w:sz w:val="20"/>
              </w:rPr>
            </w:pPr>
          </w:p>
        </w:tc>
        <w:tc>
          <w:tcPr>
            <w:tcW w:w="3241" w:type="dxa"/>
          </w:tcPr>
          <w:p>
            <w:pPr>
              <w:pStyle w:val="TableParagraph"/>
              <w:rPr>
                <w:sz w:val="20"/>
              </w:rPr>
            </w:pPr>
          </w:p>
        </w:tc>
        <w:tc>
          <w:tcPr>
            <w:tcW w:w="2161" w:type="dxa"/>
          </w:tcPr>
          <w:p>
            <w:pPr>
              <w:pStyle w:val="TableParagraph"/>
              <w:spacing w:before="110"/>
              <w:ind w:left="3" w:right="4"/>
              <w:jc w:val="center"/>
              <w:rPr>
                <w:rFonts w:ascii="Webdings" w:hAnsi="Webdings"/>
                <w:sz w:val="20"/>
              </w:rPr>
            </w:pPr>
            <w:r>
              <w:rPr>
                <w:rFonts w:ascii="Webdings" w:hAnsi="Webdings"/>
                <w:color w:val="000000"/>
                <w:spacing w:val="-10"/>
                <w:sz w:val="20"/>
                <w:shd w:fill="FFFF99" w:color="auto" w:val="clear"/>
              </w:rPr>
              <w:t></w:t>
            </w:r>
          </w:p>
        </w:tc>
      </w:tr>
      <w:tr>
        <w:trPr>
          <w:trHeight w:val="420" w:hRule="atLeast"/>
        </w:trPr>
        <w:tc>
          <w:tcPr>
            <w:tcW w:w="2451" w:type="dxa"/>
          </w:tcPr>
          <w:p>
            <w:pPr>
              <w:pStyle w:val="TableParagraph"/>
              <w:rPr>
                <w:sz w:val="20"/>
              </w:rPr>
            </w:pPr>
          </w:p>
        </w:tc>
        <w:tc>
          <w:tcPr>
            <w:tcW w:w="5762" w:type="dxa"/>
          </w:tcPr>
          <w:p>
            <w:pPr>
              <w:pStyle w:val="TableParagraph"/>
              <w:rPr>
                <w:sz w:val="20"/>
              </w:rPr>
            </w:pPr>
          </w:p>
        </w:tc>
        <w:tc>
          <w:tcPr>
            <w:tcW w:w="3241" w:type="dxa"/>
          </w:tcPr>
          <w:p>
            <w:pPr>
              <w:pStyle w:val="TableParagraph"/>
              <w:rPr>
                <w:sz w:val="20"/>
              </w:rPr>
            </w:pPr>
          </w:p>
        </w:tc>
        <w:tc>
          <w:tcPr>
            <w:tcW w:w="2161" w:type="dxa"/>
          </w:tcPr>
          <w:p>
            <w:pPr>
              <w:pStyle w:val="TableParagraph"/>
              <w:spacing w:before="110"/>
              <w:ind w:left="3" w:right="4"/>
              <w:jc w:val="center"/>
              <w:rPr>
                <w:rFonts w:ascii="Webdings" w:hAnsi="Webdings"/>
                <w:sz w:val="20"/>
              </w:rPr>
            </w:pPr>
            <w:r>
              <w:rPr>
                <w:rFonts w:ascii="Webdings" w:hAnsi="Webdings"/>
                <w:color w:val="000000"/>
                <w:spacing w:val="-10"/>
                <w:sz w:val="20"/>
                <w:shd w:fill="FFFF99" w:color="auto" w:val="clear"/>
              </w:rPr>
              <w:t></w:t>
            </w:r>
          </w:p>
        </w:tc>
      </w:tr>
      <w:tr>
        <w:trPr>
          <w:trHeight w:val="420" w:hRule="atLeast"/>
        </w:trPr>
        <w:tc>
          <w:tcPr>
            <w:tcW w:w="2451" w:type="dxa"/>
          </w:tcPr>
          <w:p>
            <w:pPr>
              <w:pStyle w:val="TableParagraph"/>
              <w:rPr>
                <w:sz w:val="20"/>
              </w:rPr>
            </w:pPr>
          </w:p>
        </w:tc>
        <w:tc>
          <w:tcPr>
            <w:tcW w:w="5762" w:type="dxa"/>
          </w:tcPr>
          <w:p>
            <w:pPr>
              <w:pStyle w:val="TableParagraph"/>
              <w:rPr>
                <w:sz w:val="20"/>
              </w:rPr>
            </w:pPr>
          </w:p>
        </w:tc>
        <w:tc>
          <w:tcPr>
            <w:tcW w:w="3241" w:type="dxa"/>
          </w:tcPr>
          <w:p>
            <w:pPr>
              <w:pStyle w:val="TableParagraph"/>
              <w:rPr>
                <w:sz w:val="20"/>
              </w:rPr>
            </w:pPr>
          </w:p>
        </w:tc>
        <w:tc>
          <w:tcPr>
            <w:tcW w:w="2161" w:type="dxa"/>
          </w:tcPr>
          <w:p>
            <w:pPr>
              <w:pStyle w:val="TableParagraph"/>
              <w:spacing w:before="110"/>
              <w:ind w:left="3" w:right="4"/>
              <w:jc w:val="center"/>
              <w:rPr>
                <w:rFonts w:ascii="Webdings" w:hAnsi="Webdings"/>
                <w:sz w:val="20"/>
              </w:rPr>
            </w:pPr>
            <w:r>
              <w:rPr>
                <w:rFonts w:ascii="Webdings" w:hAnsi="Webdings"/>
                <w:color w:val="000000"/>
                <w:spacing w:val="-10"/>
                <w:sz w:val="20"/>
                <w:shd w:fill="FFFF99" w:color="auto" w:val="clear"/>
              </w:rPr>
              <w:t></w:t>
            </w:r>
          </w:p>
        </w:tc>
      </w:tr>
      <w:tr>
        <w:trPr>
          <w:trHeight w:val="425" w:hRule="atLeast"/>
        </w:trPr>
        <w:tc>
          <w:tcPr>
            <w:tcW w:w="2451" w:type="dxa"/>
          </w:tcPr>
          <w:p>
            <w:pPr>
              <w:pStyle w:val="TableParagraph"/>
              <w:rPr>
                <w:sz w:val="20"/>
              </w:rPr>
            </w:pPr>
          </w:p>
        </w:tc>
        <w:tc>
          <w:tcPr>
            <w:tcW w:w="5762" w:type="dxa"/>
          </w:tcPr>
          <w:p>
            <w:pPr>
              <w:pStyle w:val="TableParagraph"/>
              <w:rPr>
                <w:sz w:val="20"/>
              </w:rPr>
            </w:pPr>
          </w:p>
        </w:tc>
        <w:tc>
          <w:tcPr>
            <w:tcW w:w="3241" w:type="dxa"/>
          </w:tcPr>
          <w:p>
            <w:pPr>
              <w:pStyle w:val="TableParagraph"/>
              <w:rPr>
                <w:sz w:val="20"/>
              </w:rPr>
            </w:pPr>
          </w:p>
        </w:tc>
        <w:tc>
          <w:tcPr>
            <w:tcW w:w="2161" w:type="dxa"/>
          </w:tcPr>
          <w:p>
            <w:pPr>
              <w:pStyle w:val="TableParagraph"/>
              <w:spacing w:before="110"/>
              <w:ind w:left="3" w:right="4"/>
              <w:jc w:val="center"/>
              <w:rPr>
                <w:rFonts w:ascii="Webdings" w:hAnsi="Webdings"/>
                <w:sz w:val="20"/>
              </w:rPr>
            </w:pPr>
            <w:r>
              <w:rPr>
                <w:rFonts w:ascii="Webdings" w:hAnsi="Webdings"/>
                <w:color w:val="000000"/>
                <w:spacing w:val="-10"/>
                <w:sz w:val="20"/>
                <w:shd w:fill="FFFF99" w:color="auto" w:val="clear"/>
              </w:rPr>
              <w:t></w:t>
            </w:r>
          </w:p>
        </w:tc>
      </w:tr>
      <w:tr>
        <w:trPr>
          <w:trHeight w:val="420" w:hRule="atLeast"/>
        </w:trPr>
        <w:tc>
          <w:tcPr>
            <w:tcW w:w="2451" w:type="dxa"/>
          </w:tcPr>
          <w:p>
            <w:pPr>
              <w:pStyle w:val="TableParagraph"/>
              <w:rPr>
                <w:sz w:val="20"/>
              </w:rPr>
            </w:pPr>
          </w:p>
        </w:tc>
        <w:tc>
          <w:tcPr>
            <w:tcW w:w="5762" w:type="dxa"/>
          </w:tcPr>
          <w:p>
            <w:pPr>
              <w:pStyle w:val="TableParagraph"/>
              <w:rPr>
                <w:sz w:val="20"/>
              </w:rPr>
            </w:pPr>
          </w:p>
        </w:tc>
        <w:tc>
          <w:tcPr>
            <w:tcW w:w="3241" w:type="dxa"/>
          </w:tcPr>
          <w:p>
            <w:pPr>
              <w:pStyle w:val="TableParagraph"/>
              <w:rPr>
                <w:sz w:val="20"/>
              </w:rPr>
            </w:pPr>
          </w:p>
        </w:tc>
        <w:tc>
          <w:tcPr>
            <w:tcW w:w="2161" w:type="dxa"/>
          </w:tcPr>
          <w:p>
            <w:pPr>
              <w:pStyle w:val="TableParagraph"/>
              <w:spacing w:before="110"/>
              <w:ind w:left="3" w:right="4"/>
              <w:jc w:val="center"/>
              <w:rPr>
                <w:rFonts w:ascii="Webdings" w:hAnsi="Webdings"/>
                <w:sz w:val="20"/>
              </w:rPr>
            </w:pPr>
            <w:r>
              <w:rPr>
                <w:rFonts w:ascii="Webdings" w:hAnsi="Webdings"/>
                <w:color w:val="000000"/>
                <w:spacing w:val="-10"/>
                <w:sz w:val="20"/>
                <w:shd w:fill="FFFF99" w:color="auto" w:val="clear"/>
              </w:rPr>
              <w:t></w:t>
            </w:r>
          </w:p>
        </w:tc>
      </w:tr>
      <w:tr>
        <w:trPr>
          <w:trHeight w:val="420" w:hRule="atLeast"/>
        </w:trPr>
        <w:tc>
          <w:tcPr>
            <w:tcW w:w="2451" w:type="dxa"/>
          </w:tcPr>
          <w:p>
            <w:pPr>
              <w:pStyle w:val="TableParagraph"/>
              <w:rPr>
                <w:sz w:val="20"/>
              </w:rPr>
            </w:pPr>
          </w:p>
        </w:tc>
        <w:tc>
          <w:tcPr>
            <w:tcW w:w="5762" w:type="dxa"/>
          </w:tcPr>
          <w:p>
            <w:pPr>
              <w:pStyle w:val="TableParagraph"/>
              <w:rPr>
                <w:sz w:val="20"/>
              </w:rPr>
            </w:pPr>
          </w:p>
        </w:tc>
        <w:tc>
          <w:tcPr>
            <w:tcW w:w="3241" w:type="dxa"/>
          </w:tcPr>
          <w:p>
            <w:pPr>
              <w:pStyle w:val="TableParagraph"/>
              <w:rPr>
                <w:sz w:val="20"/>
              </w:rPr>
            </w:pPr>
          </w:p>
        </w:tc>
        <w:tc>
          <w:tcPr>
            <w:tcW w:w="2161" w:type="dxa"/>
          </w:tcPr>
          <w:p>
            <w:pPr>
              <w:pStyle w:val="TableParagraph"/>
              <w:spacing w:before="110"/>
              <w:ind w:left="3" w:right="4"/>
              <w:jc w:val="center"/>
              <w:rPr>
                <w:rFonts w:ascii="Webdings" w:hAnsi="Webdings"/>
                <w:sz w:val="20"/>
              </w:rPr>
            </w:pPr>
            <w:r>
              <w:rPr>
                <w:rFonts w:ascii="Webdings" w:hAnsi="Webdings"/>
                <w:color w:val="000000"/>
                <w:spacing w:val="-10"/>
                <w:sz w:val="20"/>
                <w:shd w:fill="FFFF99" w:color="auto" w:val="clear"/>
              </w:rPr>
              <w:t></w:t>
            </w:r>
          </w:p>
        </w:tc>
      </w:tr>
      <w:tr>
        <w:trPr>
          <w:trHeight w:val="417" w:hRule="atLeast"/>
        </w:trPr>
        <w:tc>
          <w:tcPr>
            <w:tcW w:w="2451" w:type="dxa"/>
            <w:tcBorders>
              <w:bottom w:val="single" w:sz="6" w:space="0" w:color="000000"/>
            </w:tcBorders>
          </w:tcPr>
          <w:p>
            <w:pPr>
              <w:pStyle w:val="TableParagraph"/>
              <w:rPr>
                <w:sz w:val="20"/>
              </w:rPr>
            </w:pPr>
          </w:p>
        </w:tc>
        <w:tc>
          <w:tcPr>
            <w:tcW w:w="5762" w:type="dxa"/>
            <w:tcBorders>
              <w:bottom w:val="single" w:sz="6" w:space="0" w:color="000000"/>
            </w:tcBorders>
          </w:tcPr>
          <w:p>
            <w:pPr>
              <w:pStyle w:val="TableParagraph"/>
              <w:rPr>
                <w:sz w:val="20"/>
              </w:rPr>
            </w:pPr>
          </w:p>
        </w:tc>
        <w:tc>
          <w:tcPr>
            <w:tcW w:w="3241" w:type="dxa"/>
            <w:tcBorders>
              <w:bottom w:val="single" w:sz="6" w:space="0" w:color="000000"/>
            </w:tcBorders>
          </w:tcPr>
          <w:p>
            <w:pPr>
              <w:pStyle w:val="TableParagraph"/>
              <w:rPr>
                <w:sz w:val="20"/>
              </w:rPr>
            </w:pPr>
          </w:p>
        </w:tc>
        <w:tc>
          <w:tcPr>
            <w:tcW w:w="2161" w:type="dxa"/>
            <w:tcBorders>
              <w:bottom w:val="single" w:sz="6" w:space="0" w:color="000000"/>
            </w:tcBorders>
          </w:tcPr>
          <w:p>
            <w:pPr>
              <w:pStyle w:val="TableParagraph"/>
              <w:spacing w:before="110"/>
              <w:ind w:left="3" w:right="4"/>
              <w:jc w:val="center"/>
              <w:rPr>
                <w:rFonts w:ascii="Webdings" w:hAnsi="Webdings"/>
                <w:sz w:val="20"/>
              </w:rPr>
            </w:pPr>
            <w:r>
              <w:rPr>
                <w:rFonts w:ascii="Webdings" w:hAnsi="Webdings"/>
                <w:color w:val="000000"/>
                <w:spacing w:val="-10"/>
                <w:sz w:val="20"/>
                <w:shd w:fill="FFFF99" w:color="auto" w:val="clear"/>
              </w:rPr>
              <w:t></w:t>
            </w:r>
          </w:p>
        </w:tc>
      </w:tr>
      <w:tr>
        <w:trPr>
          <w:trHeight w:val="417" w:hRule="atLeast"/>
        </w:trPr>
        <w:tc>
          <w:tcPr>
            <w:tcW w:w="2451" w:type="dxa"/>
            <w:tcBorders>
              <w:top w:val="single" w:sz="6" w:space="0" w:color="000000"/>
            </w:tcBorders>
          </w:tcPr>
          <w:p>
            <w:pPr>
              <w:pStyle w:val="TableParagraph"/>
              <w:rPr>
                <w:sz w:val="20"/>
              </w:rPr>
            </w:pPr>
          </w:p>
        </w:tc>
        <w:tc>
          <w:tcPr>
            <w:tcW w:w="5762" w:type="dxa"/>
            <w:tcBorders>
              <w:top w:val="single" w:sz="6" w:space="0" w:color="000000"/>
            </w:tcBorders>
          </w:tcPr>
          <w:p>
            <w:pPr>
              <w:pStyle w:val="TableParagraph"/>
              <w:rPr>
                <w:sz w:val="20"/>
              </w:rPr>
            </w:pPr>
          </w:p>
        </w:tc>
        <w:tc>
          <w:tcPr>
            <w:tcW w:w="3241" w:type="dxa"/>
            <w:tcBorders>
              <w:top w:val="single" w:sz="6" w:space="0" w:color="000000"/>
            </w:tcBorders>
          </w:tcPr>
          <w:p>
            <w:pPr>
              <w:pStyle w:val="TableParagraph"/>
              <w:rPr>
                <w:sz w:val="20"/>
              </w:rPr>
            </w:pPr>
          </w:p>
        </w:tc>
        <w:tc>
          <w:tcPr>
            <w:tcW w:w="2161" w:type="dxa"/>
            <w:tcBorders>
              <w:top w:val="single" w:sz="6" w:space="0" w:color="000000"/>
            </w:tcBorders>
          </w:tcPr>
          <w:p>
            <w:pPr>
              <w:pStyle w:val="TableParagraph"/>
              <w:spacing w:before="107"/>
              <w:ind w:left="3" w:right="4"/>
              <w:jc w:val="center"/>
              <w:rPr>
                <w:rFonts w:ascii="Webdings" w:hAnsi="Webdings"/>
                <w:sz w:val="20"/>
              </w:rPr>
            </w:pPr>
            <w:r>
              <w:rPr>
                <w:rFonts w:ascii="Webdings" w:hAnsi="Webdings"/>
                <w:color w:val="000000"/>
                <w:spacing w:val="-10"/>
                <w:sz w:val="20"/>
                <w:shd w:fill="FFFF99" w:color="auto" w:val="clear"/>
              </w:rPr>
              <w:t></w:t>
            </w:r>
          </w:p>
        </w:tc>
      </w:tr>
      <w:tr>
        <w:trPr>
          <w:trHeight w:val="420" w:hRule="atLeast"/>
        </w:trPr>
        <w:tc>
          <w:tcPr>
            <w:tcW w:w="2451" w:type="dxa"/>
          </w:tcPr>
          <w:p>
            <w:pPr>
              <w:pStyle w:val="TableParagraph"/>
              <w:rPr>
                <w:sz w:val="20"/>
              </w:rPr>
            </w:pPr>
          </w:p>
        </w:tc>
        <w:tc>
          <w:tcPr>
            <w:tcW w:w="5762" w:type="dxa"/>
          </w:tcPr>
          <w:p>
            <w:pPr>
              <w:pStyle w:val="TableParagraph"/>
              <w:rPr>
                <w:sz w:val="20"/>
              </w:rPr>
            </w:pPr>
          </w:p>
        </w:tc>
        <w:tc>
          <w:tcPr>
            <w:tcW w:w="3241" w:type="dxa"/>
          </w:tcPr>
          <w:p>
            <w:pPr>
              <w:pStyle w:val="TableParagraph"/>
              <w:rPr>
                <w:sz w:val="20"/>
              </w:rPr>
            </w:pPr>
          </w:p>
        </w:tc>
        <w:tc>
          <w:tcPr>
            <w:tcW w:w="2161" w:type="dxa"/>
          </w:tcPr>
          <w:p>
            <w:pPr>
              <w:pStyle w:val="TableParagraph"/>
              <w:spacing w:before="110"/>
              <w:ind w:left="3" w:right="4"/>
              <w:jc w:val="center"/>
              <w:rPr>
                <w:rFonts w:ascii="Webdings" w:hAnsi="Webdings"/>
                <w:sz w:val="20"/>
              </w:rPr>
            </w:pPr>
            <w:r>
              <w:rPr>
                <w:rFonts w:ascii="Webdings" w:hAnsi="Webdings"/>
                <w:color w:val="000000"/>
                <w:spacing w:val="-10"/>
                <w:sz w:val="20"/>
                <w:shd w:fill="FFFF99" w:color="auto" w:val="clear"/>
              </w:rPr>
              <w:t></w:t>
            </w:r>
          </w:p>
        </w:tc>
      </w:tr>
      <w:tr>
        <w:trPr>
          <w:trHeight w:val="420" w:hRule="atLeast"/>
        </w:trPr>
        <w:tc>
          <w:tcPr>
            <w:tcW w:w="2451" w:type="dxa"/>
          </w:tcPr>
          <w:p>
            <w:pPr>
              <w:pStyle w:val="TableParagraph"/>
              <w:rPr>
                <w:sz w:val="20"/>
              </w:rPr>
            </w:pPr>
          </w:p>
        </w:tc>
        <w:tc>
          <w:tcPr>
            <w:tcW w:w="5762" w:type="dxa"/>
          </w:tcPr>
          <w:p>
            <w:pPr>
              <w:pStyle w:val="TableParagraph"/>
              <w:rPr>
                <w:sz w:val="20"/>
              </w:rPr>
            </w:pPr>
          </w:p>
        </w:tc>
        <w:tc>
          <w:tcPr>
            <w:tcW w:w="3241" w:type="dxa"/>
          </w:tcPr>
          <w:p>
            <w:pPr>
              <w:pStyle w:val="TableParagraph"/>
              <w:rPr>
                <w:sz w:val="20"/>
              </w:rPr>
            </w:pPr>
          </w:p>
        </w:tc>
        <w:tc>
          <w:tcPr>
            <w:tcW w:w="2161" w:type="dxa"/>
          </w:tcPr>
          <w:p>
            <w:pPr>
              <w:pStyle w:val="TableParagraph"/>
              <w:spacing w:before="110"/>
              <w:ind w:left="3" w:right="4"/>
              <w:jc w:val="center"/>
              <w:rPr>
                <w:rFonts w:ascii="Webdings" w:hAnsi="Webdings"/>
                <w:sz w:val="20"/>
              </w:rPr>
            </w:pPr>
            <w:r>
              <w:rPr>
                <w:rFonts w:ascii="Webdings" w:hAnsi="Webdings"/>
                <w:color w:val="000000"/>
                <w:spacing w:val="-10"/>
                <w:sz w:val="20"/>
                <w:shd w:fill="FFFF99" w:color="auto" w:val="clear"/>
              </w:rPr>
              <w:t></w:t>
            </w:r>
          </w:p>
        </w:tc>
      </w:tr>
      <w:tr>
        <w:trPr>
          <w:trHeight w:val="420" w:hRule="atLeast"/>
        </w:trPr>
        <w:tc>
          <w:tcPr>
            <w:tcW w:w="2451" w:type="dxa"/>
          </w:tcPr>
          <w:p>
            <w:pPr>
              <w:pStyle w:val="TableParagraph"/>
              <w:rPr>
                <w:sz w:val="20"/>
              </w:rPr>
            </w:pPr>
          </w:p>
        </w:tc>
        <w:tc>
          <w:tcPr>
            <w:tcW w:w="5762" w:type="dxa"/>
          </w:tcPr>
          <w:p>
            <w:pPr>
              <w:pStyle w:val="TableParagraph"/>
              <w:rPr>
                <w:sz w:val="20"/>
              </w:rPr>
            </w:pPr>
          </w:p>
        </w:tc>
        <w:tc>
          <w:tcPr>
            <w:tcW w:w="3241" w:type="dxa"/>
          </w:tcPr>
          <w:p>
            <w:pPr>
              <w:pStyle w:val="TableParagraph"/>
              <w:rPr>
                <w:sz w:val="20"/>
              </w:rPr>
            </w:pPr>
          </w:p>
        </w:tc>
        <w:tc>
          <w:tcPr>
            <w:tcW w:w="2161" w:type="dxa"/>
          </w:tcPr>
          <w:p>
            <w:pPr>
              <w:pStyle w:val="TableParagraph"/>
              <w:spacing w:before="110"/>
              <w:ind w:left="3" w:right="4"/>
              <w:jc w:val="center"/>
              <w:rPr>
                <w:rFonts w:ascii="Webdings" w:hAnsi="Webdings"/>
                <w:sz w:val="20"/>
              </w:rPr>
            </w:pPr>
            <w:r>
              <w:rPr>
                <w:rFonts w:ascii="Webdings" w:hAnsi="Webdings"/>
                <w:color w:val="000000"/>
                <w:spacing w:val="-10"/>
                <w:sz w:val="20"/>
                <w:shd w:fill="FFFF99" w:color="auto" w:val="clear"/>
              </w:rPr>
              <w:t></w:t>
            </w:r>
          </w:p>
        </w:tc>
      </w:tr>
      <w:tr>
        <w:trPr>
          <w:trHeight w:val="425" w:hRule="atLeast"/>
        </w:trPr>
        <w:tc>
          <w:tcPr>
            <w:tcW w:w="2451" w:type="dxa"/>
          </w:tcPr>
          <w:p>
            <w:pPr>
              <w:pStyle w:val="TableParagraph"/>
              <w:rPr>
                <w:sz w:val="20"/>
              </w:rPr>
            </w:pPr>
          </w:p>
        </w:tc>
        <w:tc>
          <w:tcPr>
            <w:tcW w:w="5762" w:type="dxa"/>
          </w:tcPr>
          <w:p>
            <w:pPr>
              <w:pStyle w:val="TableParagraph"/>
              <w:rPr>
                <w:sz w:val="20"/>
              </w:rPr>
            </w:pPr>
          </w:p>
        </w:tc>
        <w:tc>
          <w:tcPr>
            <w:tcW w:w="3241" w:type="dxa"/>
          </w:tcPr>
          <w:p>
            <w:pPr>
              <w:pStyle w:val="TableParagraph"/>
              <w:rPr>
                <w:sz w:val="20"/>
              </w:rPr>
            </w:pPr>
          </w:p>
        </w:tc>
        <w:tc>
          <w:tcPr>
            <w:tcW w:w="2161" w:type="dxa"/>
          </w:tcPr>
          <w:p>
            <w:pPr>
              <w:pStyle w:val="TableParagraph"/>
              <w:spacing w:before="110"/>
              <w:ind w:left="3" w:right="4"/>
              <w:jc w:val="center"/>
              <w:rPr>
                <w:rFonts w:ascii="Webdings" w:hAnsi="Webdings"/>
                <w:sz w:val="20"/>
              </w:rPr>
            </w:pPr>
            <w:r>
              <w:rPr>
                <w:rFonts w:ascii="Webdings" w:hAnsi="Webdings"/>
                <w:color w:val="000000"/>
                <w:spacing w:val="-10"/>
                <w:sz w:val="20"/>
                <w:shd w:fill="FFFF99" w:color="auto" w:val="clear"/>
              </w:rPr>
              <w:t></w:t>
            </w:r>
          </w:p>
        </w:tc>
      </w:tr>
      <w:tr>
        <w:trPr>
          <w:trHeight w:val="420" w:hRule="atLeast"/>
        </w:trPr>
        <w:tc>
          <w:tcPr>
            <w:tcW w:w="2451" w:type="dxa"/>
          </w:tcPr>
          <w:p>
            <w:pPr>
              <w:pStyle w:val="TableParagraph"/>
              <w:rPr>
                <w:sz w:val="20"/>
              </w:rPr>
            </w:pPr>
          </w:p>
        </w:tc>
        <w:tc>
          <w:tcPr>
            <w:tcW w:w="5762" w:type="dxa"/>
          </w:tcPr>
          <w:p>
            <w:pPr>
              <w:pStyle w:val="TableParagraph"/>
              <w:rPr>
                <w:sz w:val="20"/>
              </w:rPr>
            </w:pPr>
          </w:p>
        </w:tc>
        <w:tc>
          <w:tcPr>
            <w:tcW w:w="3241" w:type="dxa"/>
          </w:tcPr>
          <w:p>
            <w:pPr>
              <w:pStyle w:val="TableParagraph"/>
              <w:rPr>
                <w:sz w:val="20"/>
              </w:rPr>
            </w:pPr>
          </w:p>
        </w:tc>
        <w:tc>
          <w:tcPr>
            <w:tcW w:w="2161" w:type="dxa"/>
          </w:tcPr>
          <w:p>
            <w:pPr>
              <w:pStyle w:val="TableParagraph"/>
              <w:spacing w:before="110"/>
              <w:ind w:left="3" w:right="4"/>
              <w:jc w:val="center"/>
              <w:rPr>
                <w:rFonts w:ascii="Webdings" w:hAnsi="Webdings"/>
                <w:sz w:val="20"/>
              </w:rPr>
            </w:pPr>
            <w:r>
              <w:rPr>
                <w:rFonts w:ascii="Webdings" w:hAnsi="Webdings"/>
                <w:color w:val="000000"/>
                <w:spacing w:val="-10"/>
                <w:sz w:val="20"/>
                <w:shd w:fill="FFFF99" w:color="auto" w:val="clear"/>
              </w:rPr>
              <w:t></w:t>
            </w:r>
          </w:p>
        </w:tc>
      </w:tr>
      <w:tr>
        <w:trPr>
          <w:trHeight w:val="420" w:hRule="atLeast"/>
        </w:trPr>
        <w:tc>
          <w:tcPr>
            <w:tcW w:w="2451" w:type="dxa"/>
          </w:tcPr>
          <w:p>
            <w:pPr>
              <w:pStyle w:val="TableParagraph"/>
              <w:rPr>
                <w:sz w:val="20"/>
              </w:rPr>
            </w:pPr>
          </w:p>
        </w:tc>
        <w:tc>
          <w:tcPr>
            <w:tcW w:w="5762" w:type="dxa"/>
          </w:tcPr>
          <w:p>
            <w:pPr>
              <w:pStyle w:val="TableParagraph"/>
              <w:rPr>
                <w:sz w:val="20"/>
              </w:rPr>
            </w:pPr>
          </w:p>
        </w:tc>
        <w:tc>
          <w:tcPr>
            <w:tcW w:w="3241" w:type="dxa"/>
          </w:tcPr>
          <w:p>
            <w:pPr>
              <w:pStyle w:val="TableParagraph"/>
              <w:rPr>
                <w:sz w:val="20"/>
              </w:rPr>
            </w:pPr>
          </w:p>
        </w:tc>
        <w:tc>
          <w:tcPr>
            <w:tcW w:w="2161" w:type="dxa"/>
          </w:tcPr>
          <w:p>
            <w:pPr>
              <w:pStyle w:val="TableParagraph"/>
              <w:spacing w:before="110"/>
              <w:ind w:left="3" w:right="4"/>
              <w:jc w:val="center"/>
              <w:rPr>
                <w:rFonts w:ascii="Webdings" w:hAnsi="Webdings"/>
                <w:sz w:val="20"/>
              </w:rPr>
            </w:pPr>
            <w:r>
              <w:rPr>
                <w:rFonts w:ascii="Webdings" w:hAnsi="Webdings"/>
                <w:color w:val="000000"/>
                <w:spacing w:val="-10"/>
                <w:sz w:val="20"/>
                <w:shd w:fill="FFFF99" w:color="auto" w:val="clear"/>
              </w:rPr>
              <w:t></w:t>
            </w:r>
          </w:p>
        </w:tc>
      </w:tr>
      <w:tr>
        <w:trPr>
          <w:trHeight w:val="420" w:hRule="atLeast"/>
        </w:trPr>
        <w:tc>
          <w:tcPr>
            <w:tcW w:w="2451" w:type="dxa"/>
          </w:tcPr>
          <w:p>
            <w:pPr>
              <w:pStyle w:val="TableParagraph"/>
              <w:rPr>
                <w:sz w:val="20"/>
              </w:rPr>
            </w:pPr>
          </w:p>
        </w:tc>
        <w:tc>
          <w:tcPr>
            <w:tcW w:w="5762" w:type="dxa"/>
          </w:tcPr>
          <w:p>
            <w:pPr>
              <w:pStyle w:val="TableParagraph"/>
              <w:rPr>
                <w:sz w:val="20"/>
              </w:rPr>
            </w:pPr>
          </w:p>
        </w:tc>
        <w:tc>
          <w:tcPr>
            <w:tcW w:w="3241" w:type="dxa"/>
          </w:tcPr>
          <w:p>
            <w:pPr>
              <w:pStyle w:val="TableParagraph"/>
              <w:rPr>
                <w:sz w:val="20"/>
              </w:rPr>
            </w:pPr>
          </w:p>
        </w:tc>
        <w:tc>
          <w:tcPr>
            <w:tcW w:w="2161" w:type="dxa"/>
          </w:tcPr>
          <w:p>
            <w:pPr>
              <w:pStyle w:val="TableParagraph"/>
              <w:spacing w:before="110"/>
              <w:ind w:left="3" w:right="4"/>
              <w:jc w:val="center"/>
              <w:rPr>
                <w:rFonts w:ascii="Webdings" w:hAnsi="Webdings"/>
                <w:sz w:val="20"/>
              </w:rPr>
            </w:pPr>
            <w:r>
              <w:rPr>
                <w:rFonts w:ascii="Webdings" w:hAnsi="Webdings"/>
                <w:color w:val="000000"/>
                <w:spacing w:val="-10"/>
                <w:sz w:val="20"/>
                <w:shd w:fill="FFFF99" w:color="auto" w:val="clear"/>
              </w:rPr>
              <w:t></w:t>
            </w:r>
          </w:p>
        </w:tc>
      </w:tr>
    </w:tbl>
    <w:p>
      <w:pPr>
        <w:pStyle w:val="BodyText"/>
      </w:pPr>
    </w:p>
    <w:p>
      <w:pPr>
        <w:pStyle w:val="BodyText"/>
      </w:pPr>
    </w:p>
    <w:p>
      <w:pPr>
        <w:pStyle w:val="BodyText"/>
        <w:spacing w:before="237"/>
      </w:pPr>
    </w:p>
    <w:p>
      <w:pPr>
        <w:pStyle w:val="BodyText"/>
        <w:tabs>
          <w:tab w:pos="7847" w:val="left" w:leader="none"/>
        </w:tabs>
        <w:ind w:left="290"/>
        <w:rPr>
          <w:rFonts w:ascii="Times New Roman"/>
          <w:b/>
        </w:rPr>
      </w:pPr>
      <w:r>
        <w:rPr>
          <w:rFonts w:ascii="Times New Roman"/>
        </w:rPr>
        <w:t>July</w:t>
      </w:r>
      <w:r>
        <w:rPr>
          <w:rFonts w:ascii="Times New Roman"/>
          <w:spacing w:val="-1"/>
        </w:rPr>
        <w:t> </w:t>
      </w:r>
      <w:r>
        <w:rPr>
          <w:rFonts w:ascii="Times New Roman"/>
          <w:spacing w:val="-4"/>
        </w:rPr>
        <w:t>2024</w:t>
      </w:r>
      <w:r>
        <w:rPr>
          <w:rFonts w:ascii="Times New Roman"/>
        </w:rPr>
        <w:tab/>
        <w:t>Page</w:t>
      </w:r>
      <w:r>
        <w:rPr>
          <w:rFonts w:ascii="Times New Roman"/>
          <w:spacing w:val="-4"/>
        </w:rPr>
        <w:t> </w:t>
      </w:r>
      <w:r>
        <w:rPr>
          <w:rFonts w:ascii="Times New Roman"/>
          <w:b/>
        </w:rPr>
        <w:t>2 </w:t>
      </w:r>
      <w:r>
        <w:rPr>
          <w:rFonts w:ascii="Times New Roman"/>
        </w:rPr>
        <w:t>of </w:t>
      </w:r>
      <w:r>
        <w:rPr>
          <w:rFonts w:ascii="Times New Roman"/>
          <w:b/>
          <w:spacing w:val="-10"/>
        </w:rPr>
        <w:t>3</w:t>
      </w:r>
    </w:p>
    <w:p>
      <w:pPr>
        <w:pStyle w:val="BodyText"/>
        <w:spacing w:after="0"/>
        <w:rPr>
          <w:rFonts w:ascii="Times New Roman"/>
          <w:b/>
        </w:rPr>
        <w:sectPr>
          <w:pgSz w:w="15840" w:h="12240" w:orient="landscape"/>
          <w:pgMar w:top="1380" w:bottom="280" w:left="720" w:right="1080"/>
        </w:sectPr>
      </w:pPr>
    </w:p>
    <w:p>
      <w:pPr>
        <w:spacing w:line="240" w:lineRule="auto" w:before="0"/>
        <w:rPr>
          <w:b/>
          <w:sz w:val="24"/>
        </w:rPr>
      </w:pPr>
    </w:p>
    <w:p>
      <w:pPr>
        <w:spacing w:line="240" w:lineRule="auto" w:before="0"/>
        <w:rPr>
          <w:b/>
          <w:sz w:val="24"/>
        </w:rPr>
      </w:pPr>
    </w:p>
    <w:p>
      <w:pPr>
        <w:spacing w:line="240" w:lineRule="auto" w:before="122"/>
        <w:rPr>
          <w:b/>
          <w:sz w:val="24"/>
        </w:rPr>
      </w:pPr>
    </w:p>
    <w:p>
      <w:pPr>
        <w:pStyle w:val="BodyText"/>
        <w:spacing w:before="1"/>
        <w:ind w:left="600"/>
      </w:pPr>
      <w:r>
        <w:rPr/>
        <w:t>Table</w:t>
      </w:r>
      <w:r>
        <w:rPr>
          <w:spacing w:val="-5"/>
        </w:rPr>
        <w:t> </w:t>
      </w:r>
      <w:r>
        <w:rPr/>
        <w:t>9.2</w:t>
      </w:r>
      <w:r>
        <w:rPr>
          <w:spacing w:val="-1"/>
        </w:rPr>
        <w:t> </w:t>
      </w:r>
      <w:r>
        <w:rPr/>
        <w:t>–</w:t>
      </w:r>
      <w:r>
        <w:rPr>
          <w:spacing w:val="-3"/>
        </w:rPr>
        <w:t> </w:t>
      </w:r>
      <w:r>
        <w:rPr/>
        <w:t>Identification</w:t>
      </w:r>
      <w:r>
        <w:rPr>
          <w:spacing w:val="-3"/>
        </w:rPr>
        <w:t> </w:t>
      </w:r>
      <w:r>
        <w:rPr/>
        <w:t>of</w:t>
      </w:r>
      <w:r>
        <w:rPr>
          <w:spacing w:val="-6"/>
        </w:rPr>
        <w:t> </w:t>
      </w:r>
      <w:r>
        <w:rPr/>
        <w:t>the</w:t>
      </w:r>
      <w:r>
        <w:rPr>
          <w:spacing w:val="-3"/>
        </w:rPr>
        <w:t> </w:t>
      </w:r>
      <w:r>
        <w:rPr/>
        <w:t>Surface</w:t>
      </w:r>
      <w:r>
        <w:rPr>
          <w:spacing w:val="-3"/>
        </w:rPr>
        <w:t> </w:t>
      </w:r>
      <w:r>
        <w:rPr/>
        <w:t>Waters</w:t>
      </w:r>
      <w:r>
        <w:rPr>
          <w:spacing w:val="-4"/>
        </w:rPr>
        <w:t> </w:t>
      </w:r>
      <w:r>
        <w:rPr/>
        <w:t>with</w:t>
      </w:r>
      <w:r>
        <w:rPr>
          <w:spacing w:val="-2"/>
        </w:rPr>
        <w:t> </w:t>
      </w:r>
      <w:r>
        <w:rPr/>
        <w:t>Applicable</w:t>
      </w:r>
      <w:r>
        <w:rPr>
          <w:spacing w:val="-3"/>
        </w:rPr>
        <w:t> </w:t>
      </w:r>
      <w:r>
        <w:rPr/>
        <w:t>TMDL</w:t>
      </w:r>
      <w:r>
        <w:rPr>
          <w:spacing w:val="-3"/>
        </w:rPr>
        <w:t> </w:t>
      </w:r>
      <w:r>
        <w:rPr/>
        <w:t>Wasteload</w:t>
      </w:r>
      <w:r>
        <w:rPr>
          <w:spacing w:val="-3"/>
        </w:rPr>
        <w:t> </w:t>
      </w:r>
      <w:r>
        <w:rPr/>
        <w:t>Allocations</w:t>
      </w:r>
      <w:r>
        <w:rPr>
          <w:spacing w:val="-4"/>
        </w:rPr>
        <w:t> </w:t>
      </w:r>
      <w:r>
        <w:rPr/>
        <w:t>the</w:t>
      </w:r>
      <w:r>
        <w:rPr>
          <w:spacing w:val="-3"/>
        </w:rPr>
        <w:t> </w:t>
      </w:r>
      <w:r>
        <w:rPr/>
        <w:t>Project</w:t>
      </w:r>
      <w:r>
        <w:rPr>
          <w:spacing w:val="-6"/>
        </w:rPr>
        <w:t> </w:t>
      </w:r>
      <w:r>
        <w:rPr/>
        <w:t>Discharges</w:t>
      </w:r>
      <w:r>
        <w:rPr>
          <w:spacing w:val="-3"/>
        </w:rPr>
        <w:t> </w:t>
      </w:r>
      <w:r>
        <w:rPr>
          <w:spacing w:val="-4"/>
        </w:rPr>
        <w:t>Into</w:t>
      </w:r>
    </w:p>
    <w:p>
      <w:pPr>
        <w:pStyle w:val="BodyText"/>
        <w:spacing w:before="39"/>
        <w:rPr>
          <w:sz w:val="20"/>
        </w:r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1"/>
        <w:gridCol w:w="9004"/>
        <w:gridCol w:w="2162"/>
      </w:tblGrid>
      <w:tr>
        <w:trPr>
          <w:trHeight w:val="670" w:hRule="atLeast"/>
        </w:trPr>
        <w:tc>
          <w:tcPr>
            <w:tcW w:w="2451" w:type="dxa"/>
            <w:shd w:val="clear" w:color="auto" w:fill="DFDFDF"/>
          </w:tcPr>
          <w:p>
            <w:pPr>
              <w:pStyle w:val="TableParagraph"/>
              <w:spacing w:before="218"/>
              <w:jc w:val="center"/>
              <w:rPr>
                <w:rFonts w:ascii="Arial"/>
                <w:b/>
                <w:sz w:val="20"/>
              </w:rPr>
            </w:pPr>
            <w:r>
              <w:rPr>
                <w:rFonts w:ascii="Arial"/>
                <w:b/>
                <w:spacing w:val="-2"/>
                <w:sz w:val="20"/>
              </w:rPr>
              <w:t>Waterbody</w:t>
            </w:r>
          </w:p>
        </w:tc>
        <w:tc>
          <w:tcPr>
            <w:tcW w:w="9004" w:type="dxa"/>
            <w:shd w:val="clear" w:color="auto" w:fill="DFDFDF"/>
          </w:tcPr>
          <w:p>
            <w:pPr>
              <w:pStyle w:val="TableParagraph"/>
              <w:spacing w:before="218"/>
              <w:ind w:right="5"/>
              <w:jc w:val="center"/>
              <w:rPr>
                <w:rFonts w:ascii="Arial"/>
                <w:b/>
                <w:sz w:val="20"/>
              </w:rPr>
            </w:pPr>
            <w:r>
              <w:rPr>
                <w:rFonts w:ascii="Arial"/>
                <w:b/>
                <w:sz w:val="20"/>
              </w:rPr>
              <w:t>Pollutants</w:t>
            </w:r>
            <w:r>
              <w:rPr>
                <w:rFonts w:ascii="Arial"/>
                <w:b/>
                <w:spacing w:val="-5"/>
                <w:sz w:val="20"/>
              </w:rPr>
              <w:t> </w:t>
            </w:r>
            <w:r>
              <w:rPr>
                <w:rFonts w:ascii="Arial"/>
                <w:b/>
                <w:sz w:val="20"/>
              </w:rPr>
              <w:t>of</w:t>
            </w:r>
            <w:r>
              <w:rPr>
                <w:rFonts w:ascii="Arial"/>
                <w:b/>
                <w:spacing w:val="-8"/>
                <w:sz w:val="20"/>
              </w:rPr>
              <w:t> </w:t>
            </w:r>
            <w:r>
              <w:rPr>
                <w:rFonts w:ascii="Arial"/>
                <w:b/>
                <w:spacing w:val="-2"/>
                <w:sz w:val="20"/>
              </w:rPr>
              <w:t>Concern</w:t>
            </w:r>
          </w:p>
        </w:tc>
        <w:tc>
          <w:tcPr>
            <w:tcW w:w="2162" w:type="dxa"/>
            <w:shd w:val="clear" w:color="auto" w:fill="DFDFDF"/>
          </w:tcPr>
          <w:p>
            <w:pPr>
              <w:pStyle w:val="TableParagraph"/>
              <w:spacing w:line="226" w:lineRule="exact"/>
              <w:ind w:right="2"/>
              <w:jc w:val="center"/>
              <w:rPr>
                <w:rFonts w:ascii="Arial"/>
                <w:b/>
                <w:sz w:val="20"/>
              </w:rPr>
            </w:pPr>
            <w:r>
              <w:rPr>
                <w:rFonts w:ascii="Arial"/>
                <w:b/>
                <w:sz w:val="20"/>
              </w:rPr>
              <w:t>Does</w:t>
            </w:r>
            <w:r>
              <w:rPr>
                <w:rFonts w:ascii="Arial"/>
                <w:b/>
                <w:spacing w:val="-14"/>
                <w:sz w:val="20"/>
              </w:rPr>
              <w:t> </w:t>
            </w:r>
            <w:r>
              <w:rPr>
                <w:rFonts w:ascii="Arial"/>
                <w:b/>
                <w:sz w:val="20"/>
              </w:rPr>
              <w:t>the</w:t>
            </w:r>
            <w:r>
              <w:rPr>
                <w:rFonts w:ascii="Arial"/>
                <w:b/>
                <w:spacing w:val="-14"/>
                <w:sz w:val="20"/>
              </w:rPr>
              <w:t> </w:t>
            </w:r>
            <w:r>
              <w:rPr>
                <w:rFonts w:ascii="Arial"/>
                <w:b/>
                <w:sz w:val="20"/>
              </w:rPr>
              <w:t>project discharge</w:t>
            </w:r>
            <w:r>
              <w:rPr>
                <w:rFonts w:ascii="Arial"/>
                <w:b/>
                <w:spacing w:val="-11"/>
                <w:sz w:val="20"/>
              </w:rPr>
              <w:t> </w:t>
            </w:r>
            <w:r>
              <w:rPr>
                <w:rFonts w:ascii="Arial"/>
                <w:b/>
                <w:sz w:val="20"/>
              </w:rPr>
              <w:t>to</w:t>
            </w:r>
            <w:r>
              <w:rPr>
                <w:rFonts w:ascii="Arial"/>
                <w:b/>
                <w:spacing w:val="-11"/>
                <w:sz w:val="20"/>
              </w:rPr>
              <w:t> </w:t>
            </w:r>
            <w:r>
              <w:rPr>
                <w:rFonts w:ascii="Arial"/>
                <w:b/>
                <w:sz w:val="20"/>
              </w:rPr>
              <w:t>the </w:t>
            </w:r>
            <w:r>
              <w:rPr>
                <w:rFonts w:ascii="Arial"/>
                <w:b/>
                <w:spacing w:val="-2"/>
                <w:sz w:val="20"/>
              </w:rPr>
              <w:t>waterbody?</w:t>
            </w:r>
          </w:p>
        </w:tc>
      </w:tr>
      <w:tr>
        <w:trPr>
          <w:trHeight w:val="1053" w:hRule="atLeast"/>
        </w:trPr>
        <w:tc>
          <w:tcPr>
            <w:tcW w:w="2451" w:type="dxa"/>
          </w:tcPr>
          <w:p>
            <w:pPr>
              <w:pStyle w:val="TableParagraph"/>
              <w:spacing w:before="180"/>
              <w:rPr>
                <w:rFonts w:ascii="Arial"/>
                <w:sz w:val="20"/>
              </w:rPr>
            </w:pPr>
          </w:p>
          <w:p>
            <w:pPr>
              <w:pStyle w:val="TableParagraph"/>
              <w:jc w:val="center"/>
              <w:rPr>
                <w:rFonts w:ascii="Arial Narrow"/>
                <w:b/>
                <w:sz w:val="20"/>
              </w:rPr>
            </w:pPr>
            <w:r>
              <w:rPr>
                <w:rFonts w:ascii="Arial Narrow"/>
                <w:b/>
                <w:sz w:val="20"/>
              </w:rPr>
              <w:t>Chesapeake</w:t>
            </w:r>
            <w:r>
              <w:rPr>
                <w:rFonts w:ascii="Arial Narrow"/>
                <w:b/>
                <w:spacing w:val="-11"/>
                <w:sz w:val="20"/>
              </w:rPr>
              <w:t> </w:t>
            </w:r>
            <w:r>
              <w:rPr>
                <w:rFonts w:ascii="Arial Narrow"/>
                <w:b/>
                <w:spacing w:val="-5"/>
                <w:sz w:val="20"/>
              </w:rPr>
              <w:t>Bay</w:t>
            </w:r>
          </w:p>
        </w:tc>
        <w:tc>
          <w:tcPr>
            <w:tcW w:w="9004" w:type="dxa"/>
          </w:tcPr>
          <w:p>
            <w:pPr>
              <w:pStyle w:val="TableParagraph"/>
              <w:spacing w:line="328" w:lineRule="auto" w:before="90"/>
              <w:ind w:left="3788" w:right="3786"/>
              <w:jc w:val="center"/>
              <w:rPr>
                <w:rFonts w:ascii="Arial Narrow"/>
                <w:sz w:val="20"/>
              </w:rPr>
            </w:pPr>
            <w:r>
              <w:rPr>
                <w:rFonts w:ascii="Arial Narrow"/>
                <w:spacing w:val="-2"/>
                <w:sz w:val="20"/>
              </w:rPr>
              <w:t>Phosphorus Nitrogen</w:t>
            </w:r>
          </w:p>
          <w:p>
            <w:pPr>
              <w:pStyle w:val="TableParagraph"/>
              <w:spacing w:before="11"/>
              <w:ind w:left="4" w:right="5"/>
              <w:jc w:val="center"/>
              <w:rPr>
                <w:rFonts w:ascii="Arial Narrow"/>
                <w:sz w:val="20"/>
              </w:rPr>
            </w:pPr>
            <w:r>
              <w:rPr>
                <w:rFonts w:ascii="Arial Narrow"/>
                <w:spacing w:val="-2"/>
                <w:sz w:val="20"/>
              </w:rPr>
              <w:t>Sediment</w:t>
            </w:r>
          </w:p>
        </w:tc>
        <w:tc>
          <w:tcPr>
            <w:tcW w:w="2162" w:type="dxa"/>
          </w:tcPr>
          <w:p>
            <w:pPr>
              <w:pStyle w:val="TableParagraph"/>
              <w:spacing w:before="175"/>
              <w:rPr>
                <w:rFonts w:ascii="Arial"/>
                <w:sz w:val="20"/>
              </w:rPr>
            </w:pPr>
          </w:p>
          <w:p>
            <w:pPr>
              <w:pStyle w:val="TableParagraph"/>
              <w:ind w:left="2" w:right="2"/>
              <w:jc w:val="center"/>
              <w:rPr>
                <w:rFonts w:ascii="Arial"/>
                <w:sz w:val="20"/>
              </w:rPr>
            </w:pPr>
            <w:r>
              <w:rPr>
                <w:rFonts w:ascii="Arial"/>
                <w:spacing w:val="-5"/>
                <w:sz w:val="20"/>
              </w:rPr>
              <w:t>YES</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66"/>
      </w:pPr>
    </w:p>
    <w:p>
      <w:pPr>
        <w:pStyle w:val="BodyText"/>
        <w:tabs>
          <w:tab w:pos="7847" w:val="left" w:leader="none"/>
        </w:tabs>
        <w:spacing w:before="1"/>
        <w:ind w:left="290"/>
        <w:rPr>
          <w:rFonts w:ascii="Times New Roman"/>
          <w:b/>
        </w:rPr>
      </w:pPr>
      <w:r>
        <w:rPr>
          <w:rFonts w:ascii="Times New Roman"/>
        </w:rPr>
        <w:t>July</w:t>
      </w:r>
      <w:r>
        <w:rPr>
          <w:rFonts w:ascii="Times New Roman"/>
          <w:spacing w:val="-1"/>
        </w:rPr>
        <w:t> </w:t>
      </w:r>
      <w:r>
        <w:rPr>
          <w:rFonts w:ascii="Times New Roman"/>
          <w:spacing w:val="-4"/>
        </w:rPr>
        <w:t>2024</w:t>
      </w:r>
      <w:r>
        <w:rPr>
          <w:rFonts w:ascii="Times New Roman"/>
        </w:rPr>
        <w:tab/>
        <w:t>Page</w:t>
      </w:r>
      <w:r>
        <w:rPr>
          <w:rFonts w:ascii="Times New Roman"/>
          <w:spacing w:val="-4"/>
        </w:rPr>
        <w:t> </w:t>
      </w:r>
      <w:r>
        <w:rPr>
          <w:rFonts w:ascii="Times New Roman"/>
          <w:b/>
        </w:rPr>
        <w:t>3 </w:t>
      </w:r>
      <w:r>
        <w:rPr>
          <w:rFonts w:ascii="Times New Roman"/>
        </w:rPr>
        <w:t>of </w:t>
      </w:r>
      <w:r>
        <w:rPr>
          <w:rFonts w:ascii="Times New Roman"/>
          <w:b/>
          <w:spacing w:val="-10"/>
        </w:rPr>
        <w:t>3</w:t>
      </w:r>
    </w:p>
    <w:p>
      <w:pPr>
        <w:pStyle w:val="BodyText"/>
        <w:spacing w:after="0"/>
        <w:rPr>
          <w:rFonts w:ascii="Times New Roman"/>
          <w:b/>
        </w:rPr>
        <w:sectPr>
          <w:pgSz w:w="15840" w:h="12240" w:orient="landscape"/>
          <w:pgMar w:top="1380" w:bottom="280" w:left="720" w:right="1080"/>
        </w:sect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286"/>
        <w:rPr>
          <w:b/>
          <w:sz w:val="28"/>
        </w:rPr>
      </w:pPr>
    </w:p>
    <w:p>
      <w:pPr>
        <w:spacing w:before="0"/>
        <w:ind w:left="0" w:right="1" w:firstLine="0"/>
        <w:jc w:val="center"/>
        <w:rPr>
          <w:rFonts w:ascii="Arial"/>
          <w:b/>
          <w:sz w:val="28"/>
        </w:rPr>
      </w:pPr>
      <w:bookmarkStart w:name="15_Turbidity Monitoring Benchmarks" w:id="2"/>
      <w:bookmarkEnd w:id="2"/>
      <w:r>
        <w:rPr/>
      </w:r>
      <w:r>
        <w:rPr>
          <w:rFonts w:ascii="Arial"/>
          <w:b/>
          <w:spacing w:val="-2"/>
          <w:sz w:val="28"/>
        </w:rPr>
        <w:t>SECTION</w:t>
      </w:r>
    </w:p>
    <w:p>
      <w:pPr>
        <w:spacing w:before="321"/>
        <w:ind w:left="1" w:right="1" w:firstLine="0"/>
        <w:jc w:val="center"/>
        <w:rPr>
          <w:rFonts w:ascii="Arial"/>
          <w:b/>
          <w:sz w:val="28"/>
        </w:rPr>
      </w:pPr>
      <w:r>
        <w:rPr>
          <w:rFonts w:ascii="Arial"/>
          <w:b/>
          <w:sz w:val="28"/>
          <w:u w:val="single"/>
        </w:rPr>
        <w:t>Turbidity</w:t>
      </w:r>
      <w:r>
        <w:rPr>
          <w:rFonts w:ascii="Arial"/>
          <w:b/>
          <w:spacing w:val="-7"/>
          <w:sz w:val="28"/>
          <w:u w:val="single"/>
        </w:rPr>
        <w:t> </w:t>
      </w:r>
      <w:r>
        <w:rPr>
          <w:rFonts w:ascii="Arial"/>
          <w:b/>
          <w:spacing w:val="-2"/>
          <w:sz w:val="28"/>
          <w:u w:val="single"/>
        </w:rPr>
        <w:t>Monitoring</w:t>
      </w:r>
    </w:p>
    <w:p>
      <w:pPr>
        <w:pStyle w:val="BodyText"/>
        <w:rPr>
          <w:b/>
        </w:rPr>
      </w:pPr>
    </w:p>
    <w:p>
      <w:pPr>
        <w:pStyle w:val="BodyText"/>
        <w:spacing w:before="93"/>
        <w:rPr>
          <w:b/>
        </w:rPr>
      </w:pPr>
    </w:p>
    <w:p>
      <w:pPr>
        <w:pStyle w:val="BodyText"/>
        <w:ind w:left="993" w:right="95"/>
        <w:rPr>
          <w:rFonts w:ascii="Times New Roman"/>
        </w:rPr>
      </w:pPr>
      <w:r>
        <w:rPr>
          <w:rFonts w:ascii="Times New Roman"/>
        </w:rPr>
        <w:t>The</w:t>
      </w:r>
      <w:r>
        <w:rPr>
          <w:rFonts w:ascii="Times New Roman"/>
          <w:spacing w:val="-5"/>
        </w:rPr>
        <w:t> </w:t>
      </w:r>
      <w:r>
        <w:rPr>
          <w:rFonts w:ascii="Times New Roman"/>
        </w:rPr>
        <w:t>following</w:t>
      </w:r>
      <w:r>
        <w:rPr>
          <w:rFonts w:ascii="Times New Roman"/>
          <w:spacing w:val="-4"/>
        </w:rPr>
        <w:t> </w:t>
      </w:r>
      <w:r>
        <w:rPr>
          <w:rFonts w:ascii="Times New Roman"/>
        </w:rPr>
        <w:t>section</w:t>
      </w:r>
      <w:r>
        <w:rPr>
          <w:rFonts w:ascii="Times New Roman"/>
          <w:spacing w:val="-5"/>
        </w:rPr>
        <w:t> </w:t>
      </w:r>
      <w:r>
        <w:rPr>
          <w:rFonts w:ascii="Times New Roman"/>
        </w:rPr>
        <w:t>addresses</w:t>
      </w:r>
      <w:r>
        <w:rPr>
          <w:rFonts w:ascii="Times New Roman"/>
          <w:spacing w:val="-4"/>
        </w:rPr>
        <w:t> </w:t>
      </w:r>
      <w:r>
        <w:rPr>
          <w:rFonts w:ascii="Times New Roman"/>
        </w:rPr>
        <w:t>SWPPP</w:t>
      </w:r>
      <w:r>
        <w:rPr>
          <w:rFonts w:ascii="Times New Roman"/>
          <w:spacing w:val="-4"/>
        </w:rPr>
        <w:t> </w:t>
      </w:r>
      <w:r>
        <w:rPr>
          <w:rFonts w:ascii="Times New Roman"/>
        </w:rPr>
        <w:t>requirements</w:t>
      </w:r>
      <w:r>
        <w:rPr>
          <w:rFonts w:ascii="Times New Roman"/>
          <w:spacing w:val="-4"/>
        </w:rPr>
        <w:t> </w:t>
      </w:r>
      <w:r>
        <w:rPr>
          <w:rFonts w:ascii="Times New Roman"/>
        </w:rPr>
        <w:t>for</w:t>
      </w:r>
      <w:r>
        <w:rPr>
          <w:rFonts w:ascii="Times New Roman"/>
          <w:spacing w:val="-5"/>
        </w:rPr>
        <w:t> </w:t>
      </w:r>
      <w:r>
        <w:rPr>
          <w:rFonts w:ascii="Times New Roman"/>
        </w:rPr>
        <w:t>construction</w:t>
      </w:r>
      <w:r>
        <w:rPr>
          <w:rFonts w:ascii="Times New Roman"/>
          <w:spacing w:val="-4"/>
        </w:rPr>
        <w:t> </w:t>
      </w:r>
      <w:r>
        <w:rPr>
          <w:rFonts w:ascii="Times New Roman"/>
        </w:rPr>
        <w:t>dewatering</w:t>
      </w:r>
      <w:r>
        <w:rPr>
          <w:rFonts w:ascii="Times New Roman"/>
          <w:spacing w:val="-4"/>
        </w:rPr>
        <w:t> </w:t>
      </w:r>
      <w:r>
        <w:rPr>
          <w:rFonts w:ascii="Times New Roman"/>
        </w:rPr>
        <w:t>discharges</w:t>
      </w:r>
      <w:r>
        <w:rPr>
          <w:rFonts w:ascii="Times New Roman"/>
          <w:spacing w:val="-4"/>
        </w:rPr>
        <w:t> </w:t>
      </w:r>
      <w:r>
        <w:rPr>
          <w:rFonts w:ascii="Times New Roman"/>
        </w:rPr>
        <w:t>to sediment impaired waters or exceptional waters, as outlined in Part II B.8 of the VPDES Construction General Permit.</w:t>
      </w:r>
    </w:p>
    <w:p>
      <w:pPr>
        <w:pStyle w:val="BodyText"/>
        <w:spacing w:after="0"/>
        <w:rPr>
          <w:rFonts w:ascii="Times New Roman"/>
        </w:rPr>
        <w:sectPr>
          <w:pgSz w:w="12240" w:h="15840"/>
          <w:pgMar w:top="1820" w:bottom="280" w:left="720" w:right="720"/>
        </w:sectPr>
      </w:pPr>
    </w:p>
    <w:p>
      <w:pPr>
        <w:spacing w:before="88"/>
        <w:ind w:left="1" w:right="1" w:firstLine="0"/>
        <w:jc w:val="center"/>
        <w:rPr>
          <w:rFonts w:ascii="Cambria"/>
          <w:b/>
          <w:sz w:val="36"/>
        </w:rPr>
      </w:pPr>
      <w:r>
        <w:rPr>
          <w:rFonts w:ascii="Cambria"/>
          <w:b/>
          <w:sz w:val="36"/>
        </w:rPr>
        <w:t>Turbidity</w:t>
      </w:r>
      <w:r>
        <w:rPr>
          <w:rFonts w:ascii="Cambria"/>
          <w:b/>
          <w:spacing w:val="-1"/>
          <w:sz w:val="36"/>
        </w:rPr>
        <w:t> </w:t>
      </w:r>
      <w:r>
        <w:rPr>
          <w:rFonts w:ascii="Cambria"/>
          <w:b/>
          <w:spacing w:val="-2"/>
          <w:sz w:val="36"/>
        </w:rPr>
        <w:t>Monitoring</w:t>
      </w:r>
    </w:p>
    <w:p>
      <w:pPr>
        <w:pStyle w:val="BodyText"/>
        <w:rPr>
          <w:rFonts w:ascii="Cambria"/>
          <w:b/>
          <w:sz w:val="20"/>
        </w:rPr>
      </w:pPr>
    </w:p>
    <w:p>
      <w:pPr>
        <w:pStyle w:val="BodyText"/>
        <w:spacing w:before="197"/>
        <w:rPr>
          <w:rFonts w:ascii="Cambria"/>
          <w:b/>
          <w:sz w:val="20"/>
        </w:rPr>
      </w:pPr>
    </w:p>
    <w:tbl>
      <w:tblPr>
        <w:tblW w:w="0" w:type="auto"/>
        <w:jc w:val="left"/>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2"/>
        <w:gridCol w:w="1800"/>
        <w:gridCol w:w="7265"/>
      </w:tblGrid>
      <w:tr>
        <w:trPr>
          <w:trHeight w:val="3570" w:hRule="atLeast"/>
        </w:trPr>
        <w:tc>
          <w:tcPr>
            <w:tcW w:w="10747" w:type="dxa"/>
            <w:gridSpan w:val="3"/>
          </w:tcPr>
          <w:p>
            <w:pPr>
              <w:pStyle w:val="TableParagraph"/>
              <w:spacing w:before="275"/>
              <w:ind w:left="9"/>
              <w:jc w:val="center"/>
              <w:rPr>
                <w:b/>
                <w:sz w:val="24"/>
              </w:rPr>
            </w:pPr>
            <w:r>
              <w:rPr>
                <w:b/>
                <w:spacing w:val="-2"/>
                <w:sz w:val="24"/>
              </w:rPr>
              <w:t>Applicability</w:t>
            </w:r>
          </w:p>
          <w:p>
            <w:pPr>
              <w:pStyle w:val="TableParagraph"/>
              <w:spacing w:before="252"/>
              <w:ind w:left="107"/>
              <w:rPr>
                <w:i/>
                <w:sz w:val="24"/>
              </w:rPr>
            </w:pPr>
            <w:r>
              <w:rPr>
                <w:i/>
                <w:sz w:val="24"/>
              </w:rPr>
              <w:t>For</w:t>
            </w:r>
            <w:r>
              <w:rPr>
                <w:i/>
                <w:spacing w:val="-3"/>
                <w:sz w:val="24"/>
              </w:rPr>
              <w:t> </w:t>
            </w:r>
            <w:r>
              <w:rPr>
                <w:i/>
                <w:sz w:val="24"/>
              </w:rPr>
              <w:t>construction</w:t>
            </w:r>
            <w:r>
              <w:rPr>
                <w:i/>
                <w:spacing w:val="-2"/>
                <w:sz w:val="24"/>
              </w:rPr>
              <w:t> </w:t>
            </w:r>
            <w:r>
              <w:rPr>
                <w:i/>
                <w:sz w:val="24"/>
              </w:rPr>
              <w:t>dewatering</w:t>
            </w:r>
            <w:r>
              <w:rPr>
                <w:i/>
                <w:spacing w:val="-2"/>
                <w:sz w:val="24"/>
              </w:rPr>
              <w:t> </w:t>
            </w:r>
            <w:r>
              <w:rPr>
                <w:i/>
                <w:sz w:val="24"/>
              </w:rPr>
              <w:t>discharges</w:t>
            </w:r>
            <w:r>
              <w:rPr>
                <w:i/>
                <w:spacing w:val="-2"/>
                <w:sz w:val="24"/>
              </w:rPr>
              <w:t> </w:t>
            </w:r>
            <w:r>
              <w:rPr>
                <w:i/>
                <w:sz w:val="24"/>
              </w:rPr>
              <w:t>to</w:t>
            </w:r>
            <w:r>
              <w:rPr>
                <w:i/>
                <w:spacing w:val="-2"/>
                <w:sz w:val="24"/>
              </w:rPr>
              <w:t> </w:t>
            </w:r>
            <w:r>
              <w:rPr>
                <w:i/>
                <w:sz w:val="24"/>
              </w:rPr>
              <w:t>surface</w:t>
            </w:r>
            <w:r>
              <w:rPr>
                <w:i/>
                <w:spacing w:val="-3"/>
                <w:sz w:val="24"/>
              </w:rPr>
              <w:t> </w:t>
            </w:r>
            <w:r>
              <w:rPr>
                <w:i/>
                <w:sz w:val="24"/>
              </w:rPr>
              <w:t>waters</w:t>
            </w:r>
            <w:r>
              <w:rPr>
                <w:i/>
                <w:spacing w:val="-2"/>
                <w:sz w:val="24"/>
              </w:rPr>
              <w:t> </w:t>
            </w:r>
            <w:r>
              <w:rPr>
                <w:i/>
                <w:sz w:val="24"/>
              </w:rPr>
              <w:t>identified</w:t>
            </w:r>
            <w:r>
              <w:rPr>
                <w:i/>
                <w:spacing w:val="-2"/>
                <w:sz w:val="24"/>
              </w:rPr>
              <w:t> </w:t>
            </w:r>
            <w:r>
              <w:rPr>
                <w:i/>
                <w:spacing w:val="-5"/>
                <w:sz w:val="24"/>
              </w:rPr>
              <w:t>as:</w:t>
            </w:r>
          </w:p>
          <w:p>
            <w:pPr>
              <w:pStyle w:val="TableParagraph"/>
              <w:numPr>
                <w:ilvl w:val="0"/>
                <w:numId w:val="2"/>
              </w:numPr>
              <w:tabs>
                <w:tab w:pos="827" w:val="left" w:leader="none"/>
                <w:tab w:pos="887" w:val="left" w:leader="none"/>
              </w:tabs>
              <w:spacing w:line="240" w:lineRule="auto" w:before="0" w:after="0"/>
              <w:ind w:left="827" w:right="754" w:hanging="360"/>
              <w:jc w:val="left"/>
              <w:rPr>
                <w:i/>
                <w:sz w:val="24"/>
              </w:rPr>
            </w:pPr>
            <w:r>
              <w:rPr>
                <w:i/>
                <w:sz w:val="24"/>
              </w:rPr>
              <w:t>Impaired</w:t>
            </w:r>
            <w:r>
              <w:rPr>
                <w:i/>
                <w:spacing w:val="40"/>
                <w:sz w:val="24"/>
              </w:rPr>
              <w:t> </w:t>
            </w:r>
            <w:r>
              <w:rPr>
                <w:i/>
                <w:sz w:val="24"/>
              </w:rPr>
              <w:t>in</w:t>
            </w:r>
            <w:r>
              <w:rPr>
                <w:i/>
                <w:spacing w:val="-3"/>
                <w:sz w:val="24"/>
              </w:rPr>
              <w:t> </w:t>
            </w:r>
            <w:r>
              <w:rPr>
                <w:i/>
                <w:sz w:val="24"/>
              </w:rPr>
              <w:t>the</w:t>
            </w:r>
            <w:r>
              <w:rPr>
                <w:i/>
                <w:spacing w:val="-4"/>
                <w:sz w:val="24"/>
              </w:rPr>
              <w:t> </w:t>
            </w:r>
            <w:r>
              <w:rPr>
                <w:i/>
                <w:sz w:val="24"/>
              </w:rPr>
              <w:t>2022</w:t>
            </w:r>
            <w:r>
              <w:rPr>
                <w:i/>
                <w:spacing w:val="-3"/>
                <w:sz w:val="24"/>
              </w:rPr>
              <w:t> </w:t>
            </w:r>
            <w:r>
              <w:rPr>
                <w:i/>
                <w:sz w:val="24"/>
              </w:rPr>
              <w:t>§</w:t>
            </w:r>
            <w:r>
              <w:rPr>
                <w:i/>
                <w:spacing w:val="-3"/>
                <w:sz w:val="24"/>
              </w:rPr>
              <w:t> </w:t>
            </w:r>
            <w:r>
              <w:rPr>
                <w:i/>
                <w:sz w:val="24"/>
              </w:rPr>
              <w:t>305(b)/303(d)</w:t>
            </w:r>
            <w:r>
              <w:rPr>
                <w:i/>
                <w:spacing w:val="-4"/>
                <w:sz w:val="24"/>
              </w:rPr>
              <w:t> </w:t>
            </w:r>
            <w:r>
              <w:rPr>
                <w:i/>
                <w:sz w:val="24"/>
              </w:rPr>
              <w:t>Water</w:t>
            </w:r>
            <w:r>
              <w:rPr>
                <w:i/>
                <w:spacing w:val="-3"/>
                <w:sz w:val="24"/>
              </w:rPr>
              <w:t> </w:t>
            </w:r>
            <w:r>
              <w:rPr>
                <w:i/>
                <w:sz w:val="24"/>
              </w:rPr>
              <w:t>Quality</w:t>
            </w:r>
            <w:r>
              <w:rPr>
                <w:i/>
                <w:spacing w:val="-4"/>
                <w:sz w:val="24"/>
              </w:rPr>
              <w:t> </w:t>
            </w:r>
            <w:r>
              <w:rPr>
                <w:i/>
                <w:sz w:val="24"/>
              </w:rPr>
              <w:t>Assessment</w:t>
            </w:r>
            <w:r>
              <w:rPr>
                <w:i/>
                <w:spacing w:val="-3"/>
                <w:sz w:val="24"/>
              </w:rPr>
              <w:t> </w:t>
            </w:r>
            <w:r>
              <w:rPr>
                <w:i/>
                <w:sz w:val="24"/>
              </w:rPr>
              <w:t>Integrated</w:t>
            </w:r>
            <w:r>
              <w:rPr>
                <w:i/>
                <w:spacing w:val="-1"/>
                <w:sz w:val="24"/>
              </w:rPr>
              <w:t> </w:t>
            </w:r>
            <w:r>
              <w:rPr>
                <w:i/>
                <w:sz w:val="24"/>
              </w:rPr>
              <w:t>Report</w:t>
            </w:r>
            <w:r>
              <w:rPr>
                <w:i/>
                <w:spacing w:val="-3"/>
                <w:sz w:val="24"/>
              </w:rPr>
              <w:t> </w:t>
            </w:r>
            <w:r>
              <w:rPr>
                <w:i/>
                <w:sz w:val="24"/>
              </w:rPr>
              <w:t>for</w:t>
            </w:r>
            <w:r>
              <w:rPr>
                <w:i/>
                <w:spacing w:val="-3"/>
                <w:sz w:val="24"/>
              </w:rPr>
              <w:t> </w:t>
            </w:r>
            <w:r>
              <w:rPr>
                <w:i/>
                <w:sz w:val="24"/>
              </w:rPr>
              <w:t>Benthic</w:t>
            </w:r>
            <w:r>
              <w:rPr>
                <w:i/>
                <w:sz w:val="24"/>
              </w:rPr>
              <w:t> Macroinvertebrates Bioassessments;</w:t>
            </w:r>
          </w:p>
          <w:p>
            <w:pPr>
              <w:pStyle w:val="TableParagraph"/>
              <w:numPr>
                <w:ilvl w:val="0"/>
                <w:numId w:val="2"/>
              </w:numPr>
              <w:tabs>
                <w:tab w:pos="827" w:val="left" w:leader="none"/>
                <w:tab w:pos="887" w:val="left" w:leader="none"/>
              </w:tabs>
              <w:spacing w:line="240" w:lineRule="auto" w:before="0" w:after="0"/>
              <w:ind w:left="827" w:right="408" w:hanging="360"/>
              <w:jc w:val="left"/>
              <w:rPr>
                <w:i/>
                <w:sz w:val="24"/>
              </w:rPr>
            </w:pPr>
            <w:r>
              <w:rPr>
                <w:i/>
                <w:sz w:val="24"/>
              </w:rPr>
              <w:t>An</w:t>
            </w:r>
            <w:r>
              <w:rPr>
                <w:i/>
                <w:spacing w:val="40"/>
                <w:sz w:val="24"/>
              </w:rPr>
              <w:t> </w:t>
            </w:r>
            <w:r>
              <w:rPr>
                <w:i/>
                <w:sz w:val="24"/>
              </w:rPr>
              <w:t>applicable</w:t>
            </w:r>
            <w:r>
              <w:rPr>
                <w:i/>
                <w:spacing w:val="-4"/>
                <w:sz w:val="24"/>
              </w:rPr>
              <w:t> </w:t>
            </w:r>
            <w:r>
              <w:rPr>
                <w:i/>
                <w:sz w:val="24"/>
              </w:rPr>
              <w:t>TMDL</w:t>
            </w:r>
            <w:r>
              <w:rPr>
                <w:i/>
                <w:spacing w:val="-3"/>
                <w:sz w:val="24"/>
              </w:rPr>
              <w:t> </w:t>
            </w:r>
            <w:r>
              <w:rPr>
                <w:i/>
                <w:sz w:val="24"/>
              </w:rPr>
              <w:t>wasteload</w:t>
            </w:r>
            <w:r>
              <w:rPr>
                <w:i/>
                <w:spacing w:val="-3"/>
                <w:sz w:val="24"/>
              </w:rPr>
              <w:t> </w:t>
            </w:r>
            <w:r>
              <w:rPr>
                <w:i/>
                <w:sz w:val="24"/>
              </w:rPr>
              <w:t>allocation</w:t>
            </w:r>
            <w:r>
              <w:rPr>
                <w:i/>
                <w:spacing w:val="-3"/>
                <w:sz w:val="24"/>
              </w:rPr>
              <w:t> </w:t>
            </w:r>
            <w:r>
              <w:rPr>
                <w:i/>
                <w:sz w:val="24"/>
              </w:rPr>
              <w:t>has</w:t>
            </w:r>
            <w:r>
              <w:rPr>
                <w:i/>
                <w:spacing w:val="-3"/>
                <w:sz w:val="24"/>
              </w:rPr>
              <w:t> </w:t>
            </w:r>
            <w:r>
              <w:rPr>
                <w:i/>
                <w:sz w:val="24"/>
              </w:rPr>
              <w:t>been</w:t>
            </w:r>
            <w:r>
              <w:rPr>
                <w:i/>
                <w:spacing w:val="-3"/>
                <w:sz w:val="24"/>
              </w:rPr>
              <w:t> </w:t>
            </w:r>
            <w:r>
              <w:rPr>
                <w:i/>
                <w:sz w:val="24"/>
              </w:rPr>
              <w:t>established</w:t>
            </w:r>
            <w:r>
              <w:rPr>
                <w:i/>
                <w:spacing w:val="-3"/>
                <w:sz w:val="24"/>
              </w:rPr>
              <w:t> </w:t>
            </w:r>
            <w:r>
              <w:rPr>
                <w:i/>
                <w:sz w:val="24"/>
              </w:rPr>
              <w:t>and</w:t>
            </w:r>
            <w:r>
              <w:rPr>
                <w:i/>
                <w:spacing w:val="-3"/>
                <w:sz w:val="24"/>
              </w:rPr>
              <w:t> </w:t>
            </w:r>
            <w:r>
              <w:rPr>
                <w:i/>
                <w:sz w:val="24"/>
              </w:rPr>
              <w:t>approved</w:t>
            </w:r>
            <w:r>
              <w:rPr>
                <w:i/>
                <w:spacing w:val="-3"/>
                <w:sz w:val="24"/>
              </w:rPr>
              <w:t> </w:t>
            </w:r>
            <w:r>
              <w:rPr>
                <w:i/>
                <w:sz w:val="24"/>
              </w:rPr>
              <w:t>prior</w:t>
            </w:r>
            <w:r>
              <w:rPr>
                <w:i/>
                <w:spacing w:val="-3"/>
                <w:sz w:val="24"/>
              </w:rPr>
              <w:t> </w:t>
            </w:r>
            <w:r>
              <w:rPr>
                <w:i/>
                <w:sz w:val="24"/>
              </w:rPr>
              <w:t>to</w:t>
            </w:r>
            <w:r>
              <w:rPr>
                <w:i/>
                <w:spacing w:val="-3"/>
                <w:sz w:val="24"/>
              </w:rPr>
              <w:t> </w:t>
            </w:r>
            <w:r>
              <w:rPr>
                <w:i/>
                <w:sz w:val="24"/>
              </w:rPr>
              <w:t>the</w:t>
            </w:r>
            <w:r>
              <w:rPr>
                <w:i/>
                <w:spacing w:val="-4"/>
                <w:sz w:val="24"/>
              </w:rPr>
              <w:t> </w:t>
            </w:r>
            <w:r>
              <w:rPr>
                <w:i/>
                <w:sz w:val="24"/>
              </w:rPr>
              <w:t>term</w:t>
            </w:r>
            <w:r>
              <w:rPr>
                <w:i/>
                <w:spacing w:val="-4"/>
                <w:sz w:val="24"/>
              </w:rPr>
              <w:t> </w:t>
            </w:r>
            <w:r>
              <w:rPr>
                <w:i/>
                <w:sz w:val="24"/>
              </w:rPr>
              <w:t>of</w:t>
            </w:r>
            <w:r>
              <w:rPr>
                <w:i/>
                <w:sz w:val="24"/>
              </w:rPr>
              <w:t> this general permit for sediment or a sediment-related parameter (i.e., total suspended solids or turbidity), including all surface waters within the Chesapeake Bay Watershed, or;</w:t>
            </w:r>
          </w:p>
          <w:p>
            <w:pPr>
              <w:pStyle w:val="TableParagraph"/>
              <w:numPr>
                <w:ilvl w:val="0"/>
                <w:numId w:val="2"/>
              </w:numPr>
              <w:tabs>
                <w:tab w:pos="827" w:val="left" w:leader="none"/>
                <w:tab w:pos="887" w:val="left" w:leader="none"/>
              </w:tabs>
              <w:spacing w:line="240" w:lineRule="auto" w:before="0" w:after="0"/>
              <w:ind w:left="827" w:right="615" w:hanging="360"/>
              <w:jc w:val="left"/>
              <w:rPr>
                <w:i/>
                <w:sz w:val="24"/>
              </w:rPr>
            </w:pPr>
            <w:r>
              <w:rPr>
                <w:i/>
                <w:sz w:val="24"/>
              </w:rPr>
              <w:t>Listed</w:t>
            </w:r>
            <w:r>
              <w:rPr>
                <w:i/>
                <w:spacing w:val="40"/>
                <w:sz w:val="24"/>
              </w:rPr>
              <w:t> </w:t>
            </w:r>
            <w:r>
              <w:rPr>
                <w:i/>
                <w:sz w:val="24"/>
              </w:rPr>
              <w:t>in</w:t>
            </w:r>
            <w:r>
              <w:rPr>
                <w:i/>
                <w:spacing w:val="-3"/>
                <w:sz w:val="24"/>
              </w:rPr>
              <w:t> </w:t>
            </w:r>
            <w:r>
              <w:rPr>
                <w:i/>
                <w:sz w:val="24"/>
              </w:rPr>
              <w:t>9VAC25-260-30</w:t>
            </w:r>
            <w:r>
              <w:rPr>
                <w:i/>
                <w:spacing w:val="-3"/>
                <w:sz w:val="24"/>
              </w:rPr>
              <w:t> </w:t>
            </w:r>
            <w:r>
              <w:rPr>
                <w:i/>
                <w:sz w:val="24"/>
              </w:rPr>
              <w:t>A.3</w:t>
            </w:r>
            <w:r>
              <w:rPr>
                <w:i/>
                <w:spacing w:val="-3"/>
                <w:sz w:val="24"/>
              </w:rPr>
              <w:t> </w:t>
            </w:r>
            <w:r>
              <w:rPr>
                <w:i/>
                <w:sz w:val="24"/>
              </w:rPr>
              <w:t>c</w:t>
            </w:r>
            <w:r>
              <w:rPr>
                <w:i/>
                <w:spacing w:val="-4"/>
                <w:sz w:val="24"/>
              </w:rPr>
              <w:t> </w:t>
            </w:r>
            <w:r>
              <w:rPr>
                <w:i/>
                <w:sz w:val="24"/>
              </w:rPr>
              <w:t>as</w:t>
            </w:r>
            <w:r>
              <w:rPr>
                <w:i/>
                <w:spacing w:val="-3"/>
                <w:sz w:val="24"/>
              </w:rPr>
              <w:t> </w:t>
            </w:r>
            <w:r>
              <w:rPr>
                <w:i/>
                <w:sz w:val="24"/>
              </w:rPr>
              <w:t>an</w:t>
            </w:r>
            <w:r>
              <w:rPr>
                <w:i/>
                <w:spacing w:val="-3"/>
                <w:sz w:val="24"/>
              </w:rPr>
              <w:t> </w:t>
            </w:r>
            <w:r>
              <w:rPr>
                <w:i/>
                <w:sz w:val="24"/>
              </w:rPr>
              <w:t>exceptional</w:t>
            </w:r>
            <w:r>
              <w:rPr>
                <w:i/>
                <w:spacing w:val="-3"/>
                <w:sz w:val="24"/>
              </w:rPr>
              <w:t> </w:t>
            </w:r>
            <w:r>
              <w:rPr>
                <w:i/>
                <w:sz w:val="24"/>
              </w:rPr>
              <w:t>water,</w:t>
            </w:r>
            <w:r>
              <w:rPr>
                <w:i/>
                <w:spacing w:val="-3"/>
                <w:sz w:val="24"/>
              </w:rPr>
              <w:t> </w:t>
            </w:r>
            <w:r>
              <w:rPr>
                <w:i/>
                <w:sz w:val="24"/>
              </w:rPr>
              <w:t>the</w:t>
            </w:r>
            <w:r>
              <w:rPr>
                <w:i/>
                <w:spacing w:val="-4"/>
                <w:sz w:val="24"/>
              </w:rPr>
              <w:t> </w:t>
            </w:r>
            <w:r>
              <w:rPr>
                <w:i/>
                <w:sz w:val="24"/>
              </w:rPr>
              <w:t>operator</w:t>
            </w:r>
            <w:r>
              <w:rPr>
                <w:i/>
                <w:spacing w:val="-3"/>
                <w:sz w:val="24"/>
              </w:rPr>
              <w:t> </w:t>
            </w:r>
            <w:r>
              <w:rPr>
                <w:i/>
                <w:sz w:val="24"/>
              </w:rPr>
              <w:t>shall</w:t>
            </w:r>
            <w:r>
              <w:rPr>
                <w:i/>
                <w:spacing w:val="-3"/>
                <w:sz w:val="24"/>
              </w:rPr>
              <w:t> </w:t>
            </w:r>
            <w:r>
              <w:rPr>
                <w:i/>
                <w:sz w:val="24"/>
              </w:rPr>
              <w:t>undertake</w:t>
            </w:r>
            <w:r>
              <w:rPr>
                <w:i/>
                <w:spacing w:val="-4"/>
                <w:sz w:val="24"/>
              </w:rPr>
              <w:t> </w:t>
            </w:r>
            <w:r>
              <w:rPr>
                <w:i/>
                <w:sz w:val="24"/>
              </w:rPr>
              <w:t>one</w:t>
            </w:r>
            <w:r>
              <w:rPr>
                <w:i/>
                <w:spacing w:val="-4"/>
                <w:sz w:val="24"/>
              </w:rPr>
              <w:t> </w:t>
            </w:r>
            <w:r>
              <w:rPr>
                <w:i/>
                <w:sz w:val="24"/>
              </w:rPr>
              <w:t>of</w:t>
            </w:r>
            <w:r>
              <w:rPr>
                <w:i/>
                <w:spacing w:val="-3"/>
                <w:sz w:val="24"/>
              </w:rPr>
              <w:t> </w:t>
            </w:r>
            <w:r>
              <w:rPr>
                <w:i/>
                <w:sz w:val="24"/>
              </w:rPr>
              <w:t>the</w:t>
            </w:r>
            <w:r>
              <w:rPr>
                <w:i/>
                <w:sz w:val="24"/>
              </w:rPr>
              <w:t> following methods for controlling and documenting construction dewatering discharges:</w:t>
            </w:r>
          </w:p>
        </w:tc>
      </w:tr>
      <w:tr>
        <w:trPr>
          <w:trHeight w:val="710" w:hRule="atLeast"/>
        </w:trPr>
        <w:tc>
          <w:tcPr>
            <w:tcW w:w="3482" w:type="dxa"/>
            <w:gridSpan w:val="2"/>
          </w:tcPr>
          <w:p>
            <w:pPr>
              <w:pStyle w:val="TableParagraph"/>
              <w:spacing w:before="217"/>
              <w:ind w:left="803"/>
              <w:rPr>
                <w:b/>
                <w:i/>
                <w:sz w:val="24"/>
              </w:rPr>
            </w:pPr>
            <w:r>
              <w:rPr>
                <w:b/>
                <w:i/>
                <w:sz w:val="24"/>
              </w:rPr>
              <w:t>Turbidity</w:t>
            </w:r>
            <w:r>
              <w:rPr>
                <w:b/>
                <w:i/>
                <w:spacing w:val="-2"/>
                <w:sz w:val="24"/>
              </w:rPr>
              <w:t> Benchmarks</w:t>
            </w:r>
          </w:p>
        </w:tc>
        <w:tc>
          <w:tcPr>
            <w:tcW w:w="7265" w:type="dxa"/>
          </w:tcPr>
          <w:p>
            <w:pPr>
              <w:pStyle w:val="TableParagraph"/>
              <w:spacing w:before="217"/>
              <w:ind w:left="369"/>
              <w:jc w:val="center"/>
              <w:rPr>
                <w:b/>
                <w:i/>
                <w:sz w:val="24"/>
              </w:rPr>
            </w:pPr>
            <w:r>
              <w:rPr>
                <w:b/>
                <w:i/>
                <w:spacing w:val="-2"/>
                <w:sz w:val="24"/>
              </w:rPr>
              <w:t>Requirements</w:t>
            </w:r>
          </w:p>
        </w:tc>
      </w:tr>
      <w:tr>
        <w:trPr>
          <w:trHeight w:val="1266" w:hRule="atLeast"/>
        </w:trPr>
        <w:tc>
          <w:tcPr>
            <w:tcW w:w="1682" w:type="dxa"/>
            <w:vMerge w:val="restart"/>
          </w:tcPr>
          <w:p>
            <w:pPr>
              <w:pStyle w:val="TableParagraph"/>
              <w:rPr>
                <w:rFonts w:ascii="Cambria"/>
                <w:b/>
                <w:sz w:val="22"/>
              </w:rPr>
            </w:pPr>
          </w:p>
          <w:p>
            <w:pPr>
              <w:pStyle w:val="TableParagraph"/>
              <w:rPr>
                <w:rFonts w:ascii="Cambria"/>
                <w:b/>
                <w:sz w:val="22"/>
              </w:rPr>
            </w:pPr>
          </w:p>
          <w:p>
            <w:pPr>
              <w:pStyle w:val="TableParagraph"/>
              <w:rPr>
                <w:rFonts w:ascii="Cambria"/>
                <w:b/>
                <w:sz w:val="22"/>
              </w:rPr>
            </w:pPr>
          </w:p>
          <w:p>
            <w:pPr>
              <w:pStyle w:val="TableParagraph"/>
              <w:rPr>
                <w:rFonts w:ascii="Cambria"/>
                <w:b/>
                <w:sz w:val="22"/>
              </w:rPr>
            </w:pPr>
          </w:p>
          <w:p>
            <w:pPr>
              <w:pStyle w:val="TableParagraph"/>
              <w:rPr>
                <w:rFonts w:ascii="Cambria"/>
                <w:b/>
                <w:sz w:val="22"/>
              </w:rPr>
            </w:pPr>
          </w:p>
          <w:p>
            <w:pPr>
              <w:pStyle w:val="TableParagraph"/>
              <w:rPr>
                <w:rFonts w:ascii="Cambria"/>
                <w:b/>
                <w:sz w:val="22"/>
              </w:rPr>
            </w:pPr>
          </w:p>
          <w:p>
            <w:pPr>
              <w:pStyle w:val="TableParagraph"/>
              <w:rPr>
                <w:rFonts w:ascii="Cambria"/>
                <w:b/>
                <w:sz w:val="22"/>
              </w:rPr>
            </w:pPr>
          </w:p>
          <w:p>
            <w:pPr>
              <w:pStyle w:val="TableParagraph"/>
              <w:rPr>
                <w:rFonts w:ascii="Cambria"/>
                <w:b/>
                <w:sz w:val="22"/>
              </w:rPr>
            </w:pPr>
          </w:p>
          <w:p>
            <w:pPr>
              <w:pStyle w:val="TableParagraph"/>
              <w:rPr>
                <w:rFonts w:ascii="Cambria"/>
                <w:b/>
                <w:sz w:val="22"/>
              </w:rPr>
            </w:pPr>
          </w:p>
          <w:p>
            <w:pPr>
              <w:pStyle w:val="TableParagraph"/>
              <w:rPr>
                <w:rFonts w:ascii="Cambria"/>
                <w:b/>
                <w:sz w:val="22"/>
              </w:rPr>
            </w:pPr>
          </w:p>
          <w:p>
            <w:pPr>
              <w:pStyle w:val="TableParagraph"/>
              <w:spacing w:before="216"/>
              <w:rPr>
                <w:rFonts w:ascii="Cambria"/>
                <w:b/>
                <w:sz w:val="22"/>
              </w:rPr>
            </w:pPr>
          </w:p>
          <w:p>
            <w:pPr>
              <w:pStyle w:val="TableParagraph"/>
              <w:ind w:left="268" w:right="383" w:hanging="3"/>
              <w:jc w:val="center"/>
              <w:rPr>
                <w:sz w:val="22"/>
              </w:rPr>
            </w:pPr>
            <w:r>
              <w:rPr>
                <w:spacing w:val="-2"/>
                <w:sz w:val="22"/>
              </w:rPr>
              <w:t>Turbidity Benchmark </w:t>
            </w:r>
            <w:r>
              <w:rPr>
                <w:sz w:val="22"/>
              </w:rPr>
              <w:t>Option #1</w:t>
            </w:r>
          </w:p>
        </w:tc>
        <w:tc>
          <w:tcPr>
            <w:tcW w:w="1800" w:type="dxa"/>
          </w:tcPr>
          <w:p>
            <w:pPr>
              <w:pStyle w:val="TableParagraph"/>
              <w:spacing w:before="246"/>
              <w:rPr>
                <w:rFonts w:ascii="Cambria"/>
                <w:b/>
                <w:sz w:val="22"/>
              </w:rPr>
            </w:pPr>
          </w:p>
          <w:p>
            <w:pPr>
              <w:pStyle w:val="TableParagraph"/>
              <w:spacing w:before="1"/>
              <w:ind w:left="4" w:right="86"/>
              <w:jc w:val="center"/>
              <w:rPr>
                <w:sz w:val="22"/>
              </w:rPr>
            </w:pPr>
            <w:r>
              <w:rPr>
                <w:sz w:val="22"/>
              </w:rPr>
              <w:t>Sample</w:t>
            </w:r>
            <w:r>
              <w:rPr>
                <w:spacing w:val="-2"/>
                <w:sz w:val="22"/>
              </w:rPr>
              <w:t> Frequency</w:t>
            </w:r>
          </w:p>
        </w:tc>
        <w:tc>
          <w:tcPr>
            <w:tcW w:w="7265" w:type="dxa"/>
          </w:tcPr>
          <w:p>
            <w:pPr>
              <w:pStyle w:val="TableParagraph"/>
              <w:spacing w:before="1"/>
              <w:ind w:left="108" w:right="172"/>
              <w:rPr>
                <w:sz w:val="22"/>
              </w:rPr>
            </w:pPr>
            <w:r>
              <w:rPr>
                <w:sz w:val="22"/>
              </w:rPr>
              <w:t>At least</w:t>
            </w:r>
            <w:r>
              <w:rPr>
                <w:spacing w:val="-2"/>
                <w:sz w:val="22"/>
              </w:rPr>
              <w:t> </w:t>
            </w:r>
            <w:r>
              <w:rPr>
                <w:sz w:val="22"/>
              </w:rPr>
              <w:t>one grab</w:t>
            </w:r>
            <w:r>
              <w:rPr>
                <w:spacing w:val="-3"/>
                <w:sz w:val="22"/>
              </w:rPr>
              <w:t> </w:t>
            </w:r>
            <w:r>
              <w:rPr>
                <w:sz w:val="22"/>
              </w:rPr>
              <w:t>sample shall</w:t>
            </w:r>
            <w:r>
              <w:rPr>
                <w:spacing w:val="-2"/>
                <w:sz w:val="22"/>
              </w:rPr>
              <w:t> </w:t>
            </w:r>
            <w:r>
              <w:rPr>
                <w:sz w:val="22"/>
              </w:rPr>
              <w:t>be collected</w:t>
            </w:r>
            <w:r>
              <w:rPr>
                <w:spacing w:val="-3"/>
                <w:sz w:val="22"/>
              </w:rPr>
              <w:t> </w:t>
            </w:r>
            <w:r>
              <w:rPr>
                <w:sz w:val="22"/>
              </w:rPr>
              <w:t>from each</w:t>
            </w:r>
            <w:r>
              <w:rPr>
                <w:spacing w:val="-3"/>
                <w:sz w:val="22"/>
              </w:rPr>
              <w:t> </w:t>
            </w:r>
            <w:r>
              <w:rPr>
                <w:sz w:val="22"/>
              </w:rPr>
              <w:t>construction</w:t>
            </w:r>
            <w:r>
              <w:rPr>
                <w:spacing w:val="-1"/>
                <w:sz w:val="22"/>
              </w:rPr>
              <w:t> </w:t>
            </w:r>
            <w:r>
              <w:rPr>
                <w:sz w:val="22"/>
              </w:rPr>
              <w:t>dewatering discharge</w:t>
            </w:r>
            <w:r>
              <w:rPr>
                <w:spacing w:val="-3"/>
                <w:sz w:val="22"/>
              </w:rPr>
              <w:t> </w:t>
            </w:r>
            <w:r>
              <w:rPr>
                <w:sz w:val="22"/>
              </w:rPr>
              <w:t>when</w:t>
            </w:r>
            <w:r>
              <w:rPr>
                <w:spacing w:val="-6"/>
                <w:sz w:val="22"/>
              </w:rPr>
              <w:t> </w:t>
            </w:r>
            <w:r>
              <w:rPr>
                <w:sz w:val="22"/>
              </w:rPr>
              <w:t>the</w:t>
            </w:r>
            <w:r>
              <w:rPr>
                <w:spacing w:val="-5"/>
                <w:sz w:val="22"/>
              </w:rPr>
              <w:t> </w:t>
            </w:r>
            <w:r>
              <w:rPr>
                <w:sz w:val="22"/>
              </w:rPr>
              <w:t>first</w:t>
            </w:r>
            <w:r>
              <w:rPr>
                <w:spacing w:val="-2"/>
                <w:sz w:val="22"/>
              </w:rPr>
              <w:t> </w:t>
            </w:r>
            <w:r>
              <w:rPr>
                <w:sz w:val="22"/>
              </w:rPr>
              <w:t>discharge</w:t>
            </w:r>
            <w:r>
              <w:rPr>
                <w:spacing w:val="-3"/>
                <w:sz w:val="22"/>
              </w:rPr>
              <w:t> </w:t>
            </w:r>
            <w:r>
              <w:rPr>
                <w:sz w:val="22"/>
              </w:rPr>
              <w:t>at</w:t>
            </w:r>
            <w:r>
              <w:rPr>
                <w:spacing w:val="-2"/>
                <w:sz w:val="22"/>
              </w:rPr>
              <w:t> </w:t>
            </w:r>
            <w:r>
              <w:rPr>
                <w:sz w:val="22"/>
              </w:rPr>
              <w:t>that</w:t>
            </w:r>
            <w:r>
              <w:rPr>
                <w:spacing w:val="-5"/>
                <w:sz w:val="22"/>
              </w:rPr>
              <w:t> </w:t>
            </w:r>
            <w:r>
              <w:rPr>
                <w:sz w:val="22"/>
              </w:rPr>
              <w:t>location</w:t>
            </w:r>
            <w:r>
              <w:rPr>
                <w:spacing w:val="-3"/>
                <w:sz w:val="22"/>
              </w:rPr>
              <w:t> </w:t>
            </w:r>
            <w:r>
              <w:rPr>
                <w:sz w:val="22"/>
              </w:rPr>
              <w:t>occurs,</w:t>
            </w:r>
            <w:r>
              <w:rPr>
                <w:spacing w:val="-3"/>
                <w:sz w:val="22"/>
              </w:rPr>
              <w:t> </w:t>
            </w:r>
            <w:r>
              <w:rPr>
                <w:sz w:val="22"/>
              </w:rPr>
              <w:t>daily</w:t>
            </w:r>
            <w:r>
              <w:rPr>
                <w:spacing w:val="-3"/>
                <w:sz w:val="22"/>
              </w:rPr>
              <w:t> </w:t>
            </w:r>
            <w:r>
              <w:rPr>
                <w:sz w:val="22"/>
              </w:rPr>
              <w:t>thereafter</w:t>
            </w:r>
            <w:r>
              <w:rPr>
                <w:spacing w:val="-2"/>
                <w:sz w:val="22"/>
              </w:rPr>
              <w:t> </w:t>
            </w:r>
            <w:r>
              <w:rPr>
                <w:sz w:val="22"/>
              </w:rPr>
              <w:t>until the dewatering discharge stops, and after any installation of new controls or routine maintenance activity of existing controls. An upstream grab sample</w:t>
            </w:r>
          </w:p>
          <w:p>
            <w:pPr>
              <w:pStyle w:val="TableParagraph"/>
              <w:spacing w:line="234" w:lineRule="exact"/>
              <w:ind w:left="108"/>
              <w:rPr>
                <w:sz w:val="22"/>
              </w:rPr>
            </w:pPr>
            <w:r>
              <w:rPr>
                <w:sz w:val="22"/>
              </w:rPr>
              <w:t>shall</w:t>
            </w:r>
            <w:r>
              <w:rPr>
                <w:spacing w:val="-2"/>
                <w:sz w:val="22"/>
              </w:rPr>
              <w:t> </w:t>
            </w:r>
            <w:r>
              <w:rPr>
                <w:sz w:val="22"/>
              </w:rPr>
              <w:t>be</w:t>
            </w:r>
            <w:r>
              <w:rPr>
                <w:spacing w:val="-5"/>
                <w:sz w:val="22"/>
              </w:rPr>
              <w:t> </w:t>
            </w:r>
            <w:r>
              <w:rPr>
                <w:sz w:val="22"/>
              </w:rPr>
              <w:t>collected</w:t>
            </w:r>
            <w:r>
              <w:rPr>
                <w:spacing w:val="-3"/>
                <w:sz w:val="22"/>
              </w:rPr>
              <w:t> </w:t>
            </w:r>
            <w:r>
              <w:rPr>
                <w:sz w:val="22"/>
              </w:rPr>
              <w:t>from</w:t>
            </w:r>
            <w:r>
              <w:rPr>
                <w:spacing w:val="-2"/>
                <w:sz w:val="22"/>
              </w:rPr>
              <w:t> </w:t>
            </w:r>
            <w:r>
              <w:rPr>
                <w:sz w:val="22"/>
              </w:rPr>
              <w:t>the</w:t>
            </w:r>
            <w:r>
              <w:rPr>
                <w:spacing w:val="-5"/>
                <w:sz w:val="22"/>
              </w:rPr>
              <w:t> </w:t>
            </w:r>
            <w:r>
              <w:rPr>
                <w:sz w:val="22"/>
              </w:rPr>
              <w:t>receiving</w:t>
            </w:r>
            <w:r>
              <w:rPr>
                <w:spacing w:val="-2"/>
                <w:sz w:val="22"/>
              </w:rPr>
              <w:t> stream.</w:t>
            </w:r>
          </w:p>
        </w:tc>
      </w:tr>
      <w:tr>
        <w:trPr>
          <w:trHeight w:val="1264" w:hRule="atLeast"/>
        </w:trPr>
        <w:tc>
          <w:tcPr>
            <w:tcW w:w="1682" w:type="dxa"/>
            <w:vMerge/>
            <w:tcBorders>
              <w:top w:val="nil"/>
            </w:tcBorders>
          </w:tcPr>
          <w:p>
            <w:pPr>
              <w:rPr>
                <w:sz w:val="2"/>
                <w:szCs w:val="2"/>
              </w:rPr>
            </w:pPr>
          </w:p>
        </w:tc>
        <w:tc>
          <w:tcPr>
            <w:tcW w:w="1800" w:type="dxa"/>
          </w:tcPr>
          <w:p>
            <w:pPr>
              <w:pStyle w:val="TableParagraph"/>
              <w:spacing w:before="246"/>
              <w:rPr>
                <w:rFonts w:ascii="Cambria"/>
                <w:b/>
                <w:sz w:val="22"/>
              </w:rPr>
            </w:pPr>
          </w:p>
          <w:p>
            <w:pPr>
              <w:pStyle w:val="TableParagraph"/>
              <w:spacing w:before="1"/>
              <w:ind w:left="1" w:right="86"/>
              <w:jc w:val="center"/>
              <w:rPr>
                <w:sz w:val="22"/>
              </w:rPr>
            </w:pPr>
            <w:r>
              <w:rPr>
                <w:sz w:val="22"/>
              </w:rPr>
              <w:t>Sample</w:t>
            </w:r>
            <w:r>
              <w:rPr>
                <w:spacing w:val="-2"/>
                <w:sz w:val="22"/>
              </w:rPr>
              <w:t> Timing</w:t>
            </w:r>
          </w:p>
        </w:tc>
        <w:tc>
          <w:tcPr>
            <w:tcW w:w="7265" w:type="dxa"/>
          </w:tcPr>
          <w:p>
            <w:pPr>
              <w:pStyle w:val="TableParagraph"/>
              <w:ind w:left="108" w:right="172"/>
              <w:rPr>
                <w:sz w:val="22"/>
              </w:rPr>
            </w:pPr>
            <w:r>
              <w:rPr>
                <w:sz w:val="22"/>
              </w:rPr>
              <w:t>Grab samples of the construction dewatering discharge shall be collected during</w:t>
            </w:r>
            <w:r>
              <w:rPr>
                <w:spacing w:val="-3"/>
                <w:sz w:val="22"/>
              </w:rPr>
              <w:t> </w:t>
            </w:r>
            <w:r>
              <w:rPr>
                <w:sz w:val="22"/>
              </w:rPr>
              <w:t>the</w:t>
            </w:r>
            <w:r>
              <w:rPr>
                <w:spacing w:val="-3"/>
                <w:sz w:val="22"/>
              </w:rPr>
              <w:t> </w:t>
            </w:r>
            <w:r>
              <w:rPr>
                <w:sz w:val="22"/>
              </w:rPr>
              <w:t>first</w:t>
            </w:r>
            <w:r>
              <w:rPr>
                <w:spacing w:val="-2"/>
                <w:sz w:val="22"/>
              </w:rPr>
              <w:t> </w:t>
            </w:r>
            <w:r>
              <w:rPr>
                <w:sz w:val="22"/>
              </w:rPr>
              <w:t>15</w:t>
            </w:r>
            <w:r>
              <w:rPr>
                <w:spacing w:val="-3"/>
                <w:sz w:val="22"/>
              </w:rPr>
              <w:t> </w:t>
            </w:r>
            <w:r>
              <w:rPr>
                <w:sz w:val="22"/>
              </w:rPr>
              <w:t>minutes</w:t>
            </w:r>
            <w:r>
              <w:rPr>
                <w:spacing w:val="-5"/>
                <w:sz w:val="22"/>
              </w:rPr>
              <w:t> </w:t>
            </w:r>
            <w:r>
              <w:rPr>
                <w:sz w:val="22"/>
              </w:rPr>
              <w:t>of</w:t>
            </w:r>
            <w:r>
              <w:rPr>
                <w:spacing w:val="-2"/>
                <w:sz w:val="22"/>
              </w:rPr>
              <w:t> </w:t>
            </w:r>
            <w:r>
              <w:rPr>
                <w:sz w:val="22"/>
              </w:rPr>
              <w:t>the</w:t>
            </w:r>
            <w:r>
              <w:rPr>
                <w:spacing w:val="-3"/>
                <w:sz w:val="22"/>
              </w:rPr>
              <w:t> </w:t>
            </w:r>
            <w:r>
              <w:rPr>
                <w:sz w:val="22"/>
              </w:rPr>
              <w:t>construction</w:t>
            </w:r>
            <w:r>
              <w:rPr>
                <w:spacing w:val="-3"/>
                <w:sz w:val="22"/>
              </w:rPr>
              <w:t> </w:t>
            </w:r>
            <w:r>
              <w:rPr>
                <w:sz w:val="22"/>
              </w:rPr>
              <w:t>dewatering</w:t>
            </w:r>
            <w:r>
              <w:rPr>
                <w:spacing w:val="-3"/>
                <w:sz w:val="22"/>
              </w:rPr>
              <w:t> </w:t>
            </w:r>
            <w:r>
              <w:rPr>
                <w:sz w:val="22"/>
              </w:rPr>
              <w:t>discharge</w:t>
            </w:r>
            <w:r>
              <w:rPr>
                <w:spacing w:val="-3"/>
                <w:sz w:val="22"/>
              </w:rPr>
              <w:t> </w:t>
            </w:r>
            <w:r>
              <w:rPr>
                <w:sz w:val="22"/>
              </w:rPr>
              <w:t>and</w:t>
            </w:r>
            <w:r>
              <w:rPr>
                <w:spacing w:val="-6"/>
                <w:sz w:val="22"/>
              </w:rPr>
              <w:t> </w:t>
            </w:r>
            <w:r>
              <w:rPr>
                <w:sz w:val="22"/>
              </w:rPr>
              <w:t>daily thereafter until the dewatering discharge</w:t>
            </w:r>
            <w:r>
              <w:rPr>
                <w:spacing w:val="-2"/>
                <w:sz w:val="22"/>
              </w:rPr>
              <w:t> </w:t>
            </w:r>
            <w:r>
              <w:rPr>
                <w:sz w:val="22"/>
              </w:rPr>
              <w:t>stops. Upstream grab samples of</w:t>
            </w:r>
            <w:r>
              <w:rPr>
                <w:spacing w:val="-2"/>
                <w:sz w:val="22"/>
              </w:rPr>
              <w:t> </w:t>
            </w:r>
            <w:r>
              <w:rPr>
                <w:sz w:val="22"/>
              </w:rPr>
              <w:t>the receiving stream shall be collected within 15 minutes of the corresponding</w:t>
            </w:r>
          </w:p>
          <w:p>
            <w:pPr>
              <w:pStyle w:val="TableParagraph"/>
              <w:spacing w:line="234" w:lineRule="exact"/>
              <w:ind w:left="108"/>
              <w:rPr>
                <w:sz w:val="22"/>
              </w:rPr>
            </w:pPr>
            <w:r>
              <w:rPr>
                <w:sz w:val="22"/>
              </w:rPr>
              <w:t>construction</w:t>
            </w:r>
            <w:r>
              <w:rPr>
                <w:spacing w:val="-8"/>
                <w:sz w:val="22"/>
              </w:rPr>
              <w:t> </w:t>
            </w:r>
            <w:r>
              <w:rPr>
                <w:sz w:val="22"/>
              </w:rPr>
              <w:t>dewatering</w:t>
            </w:r>
            <w:r>
              <w:rPr>
                <w:spacing w:val="-7"/>
                <w:sz w:val="22"/>
              </w:rPr>
              <w:t> </w:t>
            </w:r>
            <w:r>
              <w:rPr>
                <w:sz w:val="22"/>
              </w:rPr>
              <w:t>discharge</w:t>
            </w:r>
            <w:r>
              <w:rPr>
                <w:spacing w:val="-7"/>
                <w:sz w:val="22"/>
              </w:rPr>
              <w:t> </w:t>
            </w:r>
            <w:r>
              <w:rPr>
                <w:spacing w:val="-2"/>
                <w:sz w:val="22"/>
              </w:rPr>
              <w:t>sample.</w:t>
            </w:r>
          </w:p>
        </w:tc>
      </w:tr>
      <w:tr>
        <w:trPr>
          <w:trHeight w:val="757" w:hRule="atLeast"/>
        </w:trPr>
        <w:tc>
          <w:tcPr>
            <w:tcW w:w="1682" w:type="dxa"/>
            <w:vMerge/>
            <w:tcBorders>
              <w:top w:val="nil"/>
            </w:tcBorders>
          </w:tcPr>
          <w:p>
            <w:pPr>
              <w:rPr>
                <w:sz w:val="2"/>
                <w:szCs w:val="2"/>
              </w:rPr>
            </w:pPr>
          </w:p>
        </w:tc>
        <w:tc>
          <w:tcPr>
            <w:tcW w:w="1800" w:type="dxa"/>
          </w:tcPr>
          <w:p>
            <w:pPr>
              <w:pStyle w:val="TableParagraph"/>
              <w:spacing w:before="250"/>
              <w:ind w:left="1" w:right="86"/>
              <w:jc w:val="center"/>
              <w:rPr>
                <w:sz w:val="22"/>
              </w:rPr>
            </w:pPr>
            <w:r>
              <w:rPr>
                <w:sz w:val="22"/>
              </w:rPr>
              <w:t>Sample</w:t>
            </w:r>
            <w:r>
              <w:rPr>
                <w:spacing w:val="-2"/>
                <w:sz w:val="22"/>
              </w:rPr>
              <w:t> Location</w:t>
            </w:r>
          </w:p>
        </w:tc>
        <w:tc>
          <w:tcPr>
            <w:tcW w:w="7265" w:type="dxa"/>
          </w:tcPr>
          <w:p>
            <w:pPr>
              <w:pStyle w:val="TableParagraph"/>
              <w:ind w:left="108" w:right="172"/>
              <w:rPr>
                <w:sz w:val="22"/>
              </w:rPr>
            </w:pPr>
            <w:r>
              <w:rPr>
                <w:sz w:val="22"/>
              </w:rPr>
              <w:t>Grab</w:t>
            </w:r>
            <w:r>
              <w:rPr>
                <w:spacing w:val="-3"/>
                <w:sz w:val="22"/>
              </w:rPr>
              <w:t> </w:t>
            </w:r>
            <w:r>
              <w:rPr>
                <w:sz w:val="22"/>
              </w:rPr>
              <w:t>samples</w:t>
            </w:r>
            <w:r>
              <w:rPr>
                <w:spacing w:val="-5"/>
                <w:sz w:val="22"/>
              </w:rPr>
              <w:t> </w:t>
            </w:r>
            <w:r>
              <w:rPr>
                <w:sz w:val="22"/>
              </w:rPr>
              <w:t>shall</w:t>
            </w:r>
            <w:r>
              <w:rPr>
                <w:spacing w:val="-5"/>
                <w:sz w:val="22"/>
              </w:rPr>
              <w:t> </w:t>
            </w:r>
            <w:r>
              <w:rPr>
                <w:sz w:val="22"/>
              </w:rPr>
              <w:t>be</w:t>
            </w:r>
            <w:r>
              <w:rPr>
                <w:spacing w:val="-3"/>
                <w:sz w:val="22"/>
              </w:rPr>
              <w:t> </w:t>
            </w:r>
            <w:r>
              <w:rPr>
                <w:sz w:val="22"/>
              </w:rPr>
              <w:t>collected</w:t>
            </w:r>
            <w:r>
              <w:rPr>
                <w:spacing w:val="-6"/>
                <w:sz w:val="22"/>
              </w:rPr>
              <w:t> </w:t>
            </w:r>
            <w:r>
              <w:rPr>
                <w:sz w:val="22"/>
              </w:rPr>
              <w:t>after</w:t>
            </w:r>
            <w:r>
              <w:rPr>
                <w:spacing w:val="-5"/>
                <w:sz w:val="22"/>
              </w:rPr>
              <w:t> </w:t>
            </w:r>
            <w:r>
              <w:rPr>
                <w:sz w:val="22"/>
              </w:rPr>
              <w:t>the</w:t>
            </w:r>
            <w:r>
              <w:rPr>
                <w:spacing w:val="-3"/>
                <w:sz w:val="22"/>
              </w:rPr>
              <w:t> </w:t>
            </w:r>
            <w:r>
              <w:rPr>
                <w:sz w:val="22"/>
              </w:rPr>
              <w:t>construction</w:t>
            </w:r>
            <w:r>
              <w:rPr>
                <w:spacing w:val="-6"/>
                <w:sz w:val="22"/>
              </w:rPr>
              <w:t> </w:t>
            </w:r>
            <w:r>
              <w:rPr>
                <w:sz w:val="22"/>
              </w:rPr>
              <w:t>dewatering</w:t>
            </w:r>
            <w:r>
              <w:rPr>
                <w:spacing w:val="-3"/>
                <w:sz w:val="22"/>
              </w:rPr>
              <w:t> </w:t>
            </w:r>
            <w:r>
              <w:rPr>
                <w:sz w:val="22"/>
              </w:rPr>
              <w:t>water</w:t>
            </w:r>
            <w:r>
              <w:rPr>
                <w:spacing w:val="-2"/>
                <w:sz w:val="22"/>
              </w:rPr>
              <w:t> </w:t>
            </w:r>
            <w:r>
              <w:rPr>
                <w:sz w:val="22"/>
              </w:rPr>
              <w:t>has been filtered, settled, or similarly treated and prior to its discharge into a</w:t>
            </w:r>
          </w:p>
          <w:p>
            <w:pPr>
              <w:pStyle w:val="TableParagraph"/>
              <w:spacing w:line="233" w:lineRule="exact"/>
              <w:ind w:left="108"/>
              <w:rPr>
                <w:sz w:val="22"/>
              </w:rPr>
            </w:pPr>
            <w:r>
              <w:rPr>
                <w:sz w:val="22"/>
              </w:rPr>
              <w:t>stormwater</w:t>
            </w:r>
            <w:r>
              <w:rPr>
                <w:spacing w:val="-4"/>
                <w:sz w:val="22"/>
              </w:rPr>
              <w:t> </w:t>
            </w:r>
            <w:r>
              <w:rPr>
                <w:sz w:val="22"/>
              </w:rPr>
              <w:t>conveyance</w:t>
            </w:r>
            <w:r>
              <w:rPr>
                <w:spacing w:val="-4"/>
                <w:sz w:val="22"/>
              </w:rPr>
              <w:t> </w:t>
            </w:r>
            <w:r>
              <w:rPr>
                <w:sz w:val="22"/>
              </w:rPr>
              <w:t>system</w:t>
            </w:r>
            <w:r>
              <w:rPr>
                <w:spacing w:val="-4"/>
                <w:sz w:val="22"/>
              </w:rPr>
              <w:t> </w:t>
            </w:r>
            <w:r>
              <w:rPr>
                <w:sz w:val="22"/>
              </w:rPr>
              <w:t>or</w:t>
            </w:r>
            <w:r>
              <w:rPr>
                <w:spacing w:val="-6"/>
                <w:sz w:val="22"/>
              </w:rPr>
              <w:t> </w:t>
            </w:r>
            <w:r>
              <w:rPr>
                <w:sz w:val="22"/>
              </w:rPr>
              <w:t>surface</w:t>
            </w:r>
            <w:r>
              <w:rPr>
                <w:spacing w:val="-4"/>
                <w:sz w:val="22"/>
              </w:rPr>
              <w:t> </w:t>
            </w:r>
            <w:r>
              <w:rPr>
                <w:spacing w:val="-2"/>
                <w:sz w:val="22"/>
              </w:rPr>
              <w:t>water.</w:t>
            </w:r>
          </w:p>
        </w:tc>
      </w:tr>
      <w:tr>
        <w:trPr>
          <w:trHeight w:val="1264" w:hRule="atLeast"/>
        </w:trPr>
        <w:tc>
          <w:tcPr>
            <w:tcW w:w="1682" w:type="dxa"/>
            <w:vMerge/>
            <w:tcBorders>
              <w:top w:val="nil"/>
            </w:tcBorders>
          </w:tcPr>
          <w:p>
            <w:pPr>
              <w:rPr>
                <w:sz w:val="2"/>
                <w:szCs w:val="2"/>
              </w:rPr>
            </w:pPr>
          </w:p>
        </w:tc>
        <w:tc>
          <w:tcPr>
            <w:tcW w:w="1800" w:type="dxa"/>
          </w:tcPr>
          <w:p>
            <w:pPr>
              <w:pStyle w:val="TableParagraph"/>
              <w:spacing w:before="246"/>
              <w:rPr>
                <w:rFonts w:ascii="Cambria"/>
                <w:b/>
                <w:sz w:val="22"/>
              </w:rPr>
            </w:pPr>
          </w:p>
          <w:p>
            <w:pPr>
              <w:pStyle w:val="TableParagraph"/>
              <w:spacing w:before="1"/>
              <w:ind w:right="86"/>
              <w:jc w:val="center"/>
              <w:rPr>
                <w:sz w:val="22"/>
              </w:rPr>
            </w:pPr>
            <w:r>
              <w:rPr>
                <w:sz w:val="22"/>
              </w:rPr>
              <w:t>Test</w:t>
            </w:r>
            <w:r>
              <w:rPr>
                <w:spacing w:val="-5"/>
                <w:sz w:val="22"/>
              </w:rPr>
              <w:t> </w:t>
            </w:r>
            <w:r>
              <w:rPr>
                <w:spacing w:val="-2"/>
                <w:sz w:val="22"/>
              </w:rPr>
              <w:t>Methods</w:t>
            </w:r>
          </w:p>
        </w:tc>
        <w:tc>
          <w:tcPr>
            <w:tcW w:w="7265" w:type="dxa"/>
          </w:tcPr>
          <w:p>
            <w:pPr>
              <w:pStyle w:val="TableParagraph"/>
              <w:ind w:left="108" w:right="172"/>
              <w:rPr>
                <w:sz w:val="22"/>
              </w:rPr>
            </w:pPr>
            <w:r>
              <w:rPr>
                <w:sz w:val="22"/>
              </w:rPr>
              <w:t>Grab</w:t>
            </w:r>
            <w:r>
              <w:rPr>
                <w:spacing w:val="-2"/>
                <w:sz w:val="22"/>
              </w:rPr>
              <w:t> </w:t>
            </w:r>
            <w:r>
              <w:rPr>
                <w:sz w:val="22"/>
              </w:rPr>
              <w:t>samples</w:t>
            </w:r>
            <w:r>
              <w:rPr>
                <w:spacing w:val="-4"/>
                <w:sz w:val="22"/>
              </w:rPr>
              <w:t> </w:t>
            </w:r>
            <w:r>
              <w:rPr>
                <w:sz w:val="22"/>
              </w:rPr>
              <w:t>taken</w:t>
            </w:r>
            <w:r>
              <w:rPr>
                <w:spacing w:val="-2"/>
                <w:sz w:val="22"/>
              </w:rPr>
              <w:t> </w:t>
            </w:r>
            <w:r>
              <w:rPr>
                <w:sz w:val="22"/>
              </w:rPr>
              <w:t>as</w:t>
            </w:r>
            <w:r>
              <w:rPr>
                <w:spacing w:val="-2"/>
                <w:sz w:val="22"/>
              </w:rPr>
              <w:t> </w:t>
            </w:r>
            <w:r>
              <w:rPr>
                <w:sz w:val="22"/>
              </w:rPr>
              <w:t>required</w:t>
            </w:r>
            <w:r>
              <w:rPr>
                <w:spacing w:val="-5"/>
                <w:sz w:val="22"/>
              </w:rPr>
              <w:t> </w:t>
            </w:r>
            <w:r>
              <w:rPr>
                <w:sz w:val="22"/>
              </w:rPr>
              <w:t>by</w:t>
            </w:r>
            <w:r>
              <w:rPr>
                <w:spacing w:val="-2"/>
                <w:sz w:val="22"/>
              </w:rPr>
              <w:t> </w:t>
            </w:r>
            <w:r>
              <w:rPr>
                <w:sz w:val="22"/>
              </w:rPr>
              <w:t>this</w:t>
            </w:r>
            <w:r>
              <w:rPr>
                <w:spacing w:val="-2"/>
                <w:sz w:val="22"/>
              </w:rPr>
              <w:t> </w:t>
            </w:r>
            <w:r>
              <w:rPr>
                <w:sz w:val="22"/>
              </w:rPr>
              <w:t>subdivision</w:t>
            </w:r>
            <w:r>
              <w:rPr>
                <w:spacing w:val="-2"/>
                <w:sz w:val="22"/>
              </w:rPr>
              <w:t> </w:t>
            </w:r>
            <w:r>
              <w:rPr>
                <w:sz w:val="22"/>
              </w:rPr>
              <w:t>8</w:t>
            </w:r>
            <w:r>
              <w:rPr>
                <w:spacing w:val="-2"/>
                <w:sz w:val="22"/>
              </w:rPr>
              <w:t> </w:t>
            </w:r>
            <w:r>
              <w:rPr>
                <w:sz w:val="22"/>
              </w:rPr>
              <w:t>shall</w:t>
            </w:r>
            <w:r>
              <w:rPr>
                <w:spacing w:val="-1"/>
                <w:sz w:val="22"/>
              </w:rPr>
              <w:t> </w:t>
            </w:r>
            <w:r>
              <w:rPr>
                <w:sz w:val="22"/>
              </w:rPr>
              <w:t>be</w:t>
            </w:r>
            <w:r>
              <w:rPr>
                <w:spacing w:val="-4"/>
                <w:sz w:val="22"/>
              </w:rPr>
              <w:t> </w:t>
            </w:r>
            <w:r>
              <w:rPr>
                <w:sz w:val="22"/>
              </w:rPr>
              <w:t>measured</w:t>
            </w:r>
            <w:r>
              <w:rPr>
                <w:spacing w:val="-2"/>
                <w:sz w:val="22"/>
              </w:rPr>
              <w:t> </w:t>
            </w:r>
            <w:r>
              <w:rPr>
                <w:sz w:val="22"/>
              </w:rPr>
              <w:t>using</w:t>
            </w:r>
            <w:r>
              <w:rPr>
                <w:spacing w:val="-5"/>
                <w:sz w:val="22"/>
              </w:rPr>
              <w:t> </w:t>
            </w:r>
            <w:r>
              <w:rPr>
                <w:sz w:val="22"/>
              </w:rPr>
              <w:t>a turbidity meter that reports results in nephelometric turbidity units (NTUs) or formazin turbidity units (FTUs), and a turbidity meter calibration verification</w:t>
            </w:r>
          </w:p>
          <w:p>
            <w:pPr>
              <w:pStyle w:val="TableParagraph"/>
              <w:spacing w:line="252" w:lineRule="exact"/>
              <w:ind w:left="108" w:right="172"/>
              <w:rPr>
                <w:sz w:val="22"/>
              </w:rPr>
            </w:pPr>
            <w:r>
              <w:rPr>
                <w:sz w:val="22"/>
              </w:rPr>
              <w:t>shall</w:t>
            </w:r>
            <w:r>
              <w:rPr>
                <w:spacing w:val="-3"/>
                <w:sz w:val="22"/>
              </w:rPr>
              <w:t> </w:t>
            </w:r>
            <w:r>
              <w:rPr>
                <w:sz w:val="22"/>
              </w:rPr>
              <w:t>be</w:t>
            </w:r>
            <w:r>
              <w:rPr>
                <w:spacing w:val="-5"/>
                <w:sz w:val="22"/>
              </w:rPr>
              <w:t> </w:t>
            </w:r>
            <w:r>
              <w:rPr>
                <w:sz w:val="22"/>
              </w:rPr>
              <w:t>conducted</w:t>
            </w:r>
            <w:r>
              <w:rPr>
                <w:spacing w:val="-4"/>
                <w:sz w:val="22"/>
              </w:rPr>
              <w:t> </w:t>
            </w:r>
            <w:r>
              <w:rPr>
                <w:sz w:val="22"/>
              </w:rPr>
              <w:t>prior</w:t>
            </w:r>
            <w:r>
              <w:rPr>
                <w:spacing w:val="-3"/>
                <w:sz w:val="22"/>
              </w:rPr>
              <w:t> </w:t>
            </w:r>
            <w:r>
              <w:rPr>
                <w:sz w:val="22"/>
              </w:rPr>
              <w:t>to</w:t>
            </w:r>
            <w:r>
              <w:rPr>
                <w:spacing w:val="-8"/>
                <w:sz w:val="22"/>
              </w:rPr>
              <w:t> </w:t>
            </w:r>
            <w:r>
              <w:rPr>
                <w:sz w:val="22"/>
              </w:rPr>
              <w:t>each</w:t>
            </w:r>
            <w:r>
              <w:rPr>
                <w:spacing w:val="-4"/>
                <w:sz w:val="22"/>
              </w:rPr>
              <w:t> </w:t>
            </w:r>
            <w:r>
              <w:rPr>
                <w:sz w:val="22"/>
              </w:rPr>
              <w:t>day's</w:t>
            </w:r>
            <w:r>
              <w:rPr>
                <w:spacing w:val="-4"/>
                <w:sz w:val="22"/>
              </w:rPr>
              <w:t> </w:t>
            </w:r>
            <w:r>
              <w:rPr>
                <w:sz w:val="22"/>
              </w:rPr>
              <w:t>use,</w:t>
            </w:r>
            <w:r>
              <w:rPr>
                <w:spacing w:val="-4"/>
                <w:sz w:val="22"/>
              </w:rPr>
              <w:t> </w:t>
            </w:r>
            <w:r>
              <w:rPr>
                <w:sz w:val="22"/>
              </w:rPr>
              <w:t>consistent</w:t>
            </w:r>
            <w:r>
              <w:rPr>
                <w:spacing w:val="-3"/>
                <w:sz w:val="22"/>
              </w:rPr>
              <w:t> </w:t>
            </w:r>
            <w:r>
              <w:rPr>
                <w:sz w:val="22"/>
              </w:rPr>
              <w:t>with</w:t>
            </w:r>
            <w:r>
              <w:rPr>
                <w:spacing w:val="-6"/>
                <w:sz w:val="22"/>
              </w:rPr>
              <w:t> </w:t>
            </w:r>
            <w:r>
              <w:rPr>
                <w:sz w:val="22"/>
              </w:rPr>
              <w:t>manufacturer </w:t>
            </w:r>
            <w:r>
              <w:rPr>
                <w:spacing w:val="-2"/>
                <w:sz w:val="22"/>
              </w:rPr>
              <w:t>recommendations.</w:t>
            </w:r>
          </w:p>
        </w:tc>
      </w:tr>
      <w:tr>
        <w:trPr>
          <w:trHeight w:val="505" w:hRule="atLeast"/>
        </w:trPr>
        <w:tc>
          <w:tcPr>
            <w:tcW w:w="1682" w:type="dxa"/>
            <w:vMerge/>
            <w:tcBorders>
              <w:top w:val="nil"/>
            </w:tcBorders>
          </w:tcPr>
          <w:p>
            <w:pPr>
              <w:rPr>
                <w:sz w:val="2"/>
                <w:szCs w:val="2"/>
              </w:rPr>
            </w:pPr>
          </w:p>
        </w:tc>
        <w:tc>
          <w:tcPr>
            <w:tcW w:w="1800" w:type="dxa"/>
          </w:tcPr>
          <w:p>
            <w:pPr>
              <w:pStyle w:val="TableParagraph"/>
              <w:spacing w:before="125"/>
              <w:ind w:left="1" w:right="86"/>
              <w:jc w:val="center"/>
              <w:rPr>
                <w:sz w:val="22"/>
              </w:rPr>
            </w:pPr>
            <w:r>
              <w:rPr>
                <w:sz w:val="22"/>
              </w:rPr>
              <w:t>Visual</w:t>
            </w:r>
            <w:r>
              <w:rPr>
                <w:spacing w:val="-2"/>
                <w:sz w:val="22"/>
              </w:rPr>
              <w:t> Monitoring</w:t>
            </w:r>
          </w:p>
        </w:tc>
        <w:tc>
          <w:tcPr>
            <w:tcW w:w="7265" w:type="dxa"/>
          </w:tcPr>
          <w:p>
            <w:pPr>
              <w:pStyle w:val="TableParagraph"/>
              <w:spacing w:line="252" w:lineRule="exact"/>
              <w:ind w:left="108" w:right="172"/>
              <w:rPr>
                <w:sz w:val="22"/>
              </w:rPr>
            </w:pPr>
            <w:r>
              <w:rPr>
                <w:sz w:val="22"/>
              </w:rPr>
              <w:t>All</w:t>
            </w:r>
            <w:r>
              <w:rPr>
                <w:spacing w:val="-2"/>
                <w:sz w:val="22"/>
              </w:rPr>
              <w:t> </w:t>
            </w:r>
            <w:r>
              <w:rPr>
                <w:sz w:val="22"/>
              </w:rPr>
              <w:t>dewatering</w:t>
            </w:r>
            <w:r>
              <w:rPr>
                <w:spacing w:val="-3"/>
                <w:sz w:val="22"/>
              </w:rPr>
              <w:t> </w:t>
            </w:r>
            <w:r>
              <w:rPr>
                <w:sz w:val="22"/>
              </w:rPr>
              <w:t>discharges</w:t>
            </w:r>
            <w:r>
              <w:rPr>
                <w:spacing w:val="-3"/>
                <w:sz w:val="22"/>
              </w:rPr>
              <w:t> </w:t>
            </w:r>
            <w:r>
              <w:rPr>
                <w:sz w:val="22"/>
              </w:rPr>
              <w:t>shall</w:t>
            </w:r>
            <w:r>
              <w:rPr>
                <w:spacing w:val="-2"/>
                <w:sz w:val="22"/>
              </w:rPr>
              <w:t> </w:t>
            </w:r>
            <w:r>
              <w:rPr>
                <w:sz w:val="22"/>
              </w:rPr>
              <w:t>be</w:t>
            </w:r>
            <w:r>
              <w:rPr>
                <w:spacing w:val="-3"/>
                <w:sz w:val="22"/>
              </w:rPr>
              <w:t> </w:t>
            </w:r>
            <w:r>
              <w:rPr>
                <w:sz w:val="22"/>
              </w:rPr>
              <w:t>visually</w:t>
            </w:r>
            <w:r>
              <w:rPr>
                <w:spacing w:val="-6"/>
                <w:sz w:val="22"/>
              </w:rPr>
              <w:t> </w:t>
            </w:r>
            <w:r>
              <w:rPr>
                <w:sz w:val="22"/>
              </w:rPr>
              <w:t>monitored</w:t>
            </w:r>
            <w:r>
              <w:rPr>
                <w:spacing w:val="-6"/>
                <w:sz w:val="22"/>
              </w:rPr>
              <w:t> </w:t>
            </w:r>
            <w:r>
              <w:rPr>
                <w:sz w:val="22"/>
              </w:rPr>
              <w:t>for</w:t>
            </w:r>
            <w:r>
              <w:rPr>
                <w:spacing w:val="-2"/>
                <w:sz w:val="22"/>
              </w:rPr>
              <w:t> </w:t>
            </w:r>
            <w:r>
              <w:rPr>
                <w:sz w:val="22"/>
              </w:rPr>
              <w:t>changes</w:t>
            </w:r>
            <w:r>
              <w:rPr>
                <w:spacing w:val="-5"/>
                <w:sz w:val="22"/>
              </w:rPr>
              <w:t> </w:t>
            </w:r>
            <w:r>
              <w:rPr>
                <w:sz w:val="22"/>
              </w:rPr>
              <w:t>in</w:t>
            </w:r>
            <w:r>
              <w:rPr>
                <w:spacing w:val="-6"/>
                <w:sz w:val="22"/>
              </w:rPr>
              <w:t> </w:t>
            </w:r>
            <w:r>
              <w:rPr>
                <w:sz w:val="22"/>
              </w:rPr>
              <w:t>the characterization of effluent discharge.</w:t>
            </w:r>
          </w:p>
        </w:tc>
      </w:tr>
      <w:tr>
        <w:trPr>
          <w:trHeight w:val="1266" w:hRule="atLeast"/>
        </w:trPr>
        <w:tc>
          <w:tcPr>
            <w:tcW w:w="1682" w:type="dxa"/>
            <w:vMerge/>
            <w:tcBorders>
              <w:top w:val="nil"/>
            </w:tcBorders>
          </w:tcPr>
          <w:p>
            <w:pPr>
              <w:rPr>
                <w:sz w:val="2"/>
                <w:szCs w:val="2"/>
              </w:rPr>
            </w:pPr>
          </w:p>
        </w:tc>
        <w:tc>
          <w:tcPr>
            <w:tcW w:w="1800" w:type="dxa"/>
          </w:tcPr>
          <w:p>
            <w:pPr>
              <w:pStyle w:val="TableParagraph"/>
              <w:spacing w:before="246"/>
              <w:rPr>
                <w:rFonts w:ascii="Cambria"/>
                <w:b/>
                <w:sz w:val="22"/>
              </w:rPr>
            </w:pPr>
          </w:p>
          <w:p>
            <w:pPr>
              <w:pStyle w:val="TableParagraph"/>
              <w:spacing w:before="1"/>
              <w:ind w:left="3" w:right="86"/>
              <w:jc w:val="center"/>
              <w:rPr>
                <w:sz w:val="22"/>
              </w:rPr>
            </w:pPr>
            <w:r>
              <w:rPr>
                <w:sz w:val="22"/>
              </w:rPr>
              <w:t>Corrective</w:t>
            </w:r>
            <w:r>
              <w:rPr>
                <w:spacing w:val="-5"/>
                <w:sz w:val="22"/>
              </w:rPr>
              <w:t> </w:t>
            </w:r>
            <w:r>
              <w:rPr>
                <w:spacing w:val="-2"/>
                <w:sz w:val="22"/>
              </w:rPr>
              <w:t>Action</w:t>
            </w:r>
          </w:p>
        </w:tc>
        <w:tc>
          <w:tcPr>
            <w:tcW w:w="7265" w:type="dxa"/>
          </w:tcPr>
          <w:p>
            <w:pPr>
              <w:pStyle w:val="TableParagraph"/>
              <w:spacing w:before="1"/>
              <w:ind w:left="108" w:right="34"/>
              <w:rPr>
                <w:sz w:val="22"/>
              </w:rPr>
            </w:pPr>
            <w:r>
              <w:rPr>
                <w:sz w:val="22"/>
              </w:rPr>
              <w:t>If (i) any turbidity measurement of the construction dewatering discharge exceeds the upstream grab sample of the receiving stream by more than 50 NTUs/FTUs or (ii) visual</w:t>
            </w:r>
            <w:r>
              <w:rPr>
                <w:spacing w:val="-2"/>
                <w:sz w:val="22"/>
              </w:rPr>
              <w:t> </w:t>
            </w:r>
            <w:r>
              <w:rPr>
                <w:sz w:val="22"/>
              </w:rPr>
              <w:t>monitoring indicates a change in</w:t>
            </w:r>
            <w:r>
              <w:rPr>
                <w:spacing w:val="-1"/>
                <w:sz w:val="22"/>
              </w:rPr>
              <w:t> </w:t>
            </w:r>
            <w:r>
              <w:rPr>
                <w:sz w:val="22"/>
              </w:rPr>
              <w:t>the characterization of</w:t>
            </w:r>
            <w:r>
              <w:rPr>
                <w:spacing w:val="-3"/>
                <w:sz w:val="22"/>
              </w:rPr>
              <w:t> </w:t>
            </w:r>
            <w:r>
              <w:rPr>
                <w:sz w:val="22"/>
              </w:rPr>
              <w:t>effluent</w:t>
            </w:r>
            <w:r>
              <w:rPr>
                <w:spacing w:val="-3"/>
                <w:sz w:val="22"/>
              </w:rPr>
              <w:t> </w:t>
            </w:r>
            <w:r>
              <w:rPr>
                <w:sz w:val="22"/>
              </w:rPr>
              <w:t>discharge,</w:t>
            </w:r>
            <w:r>
              <w:rPr>
                <w:spacing w:val="-4"/>
                <w:sz w:val="22"/>
              </w:rPr>
              <w:t> </w:t>
            </w:r>
            <w:r>
              <w:rPr>
                <w:sz w:val="22"/>
              </w:rPr>
              <w:t>corrective</w:t>
            </w:r>
            <w:r>
              <w:rPr>
                <w:spacing w:val="-4"/>
                <w:sz w:val="22"/>
              </w:rPr>
              <w:t> </w:t>
            </w:r>
            <w:r>
              <w:rPr>
                <w:sz w:val="22"/>
              </w:rPr>
              <w:t>action</w:t>
            </w:r>
            <w:r>
              <w:rPr>
                <w:spacing w:val="-3"/>
                <w:sz w:val="22"/>
              </w:rPr>
              <w:t> </w:t>
            </w:r>
            <w:r>
              <w:rPr>
                <w:sz w:val="22"/>
              </w:rPr>
              <w:t>shall</w:t>
            </w:r>
            <w:r>
              <w:rPr>
                <w:spacing w:val="-3"/>
                <w:sz w:val="22"/>
              </w:rPr>
              <w:t> </w:t>
            </w:r>
            <w:r>
              <w:rPr>
                <w:sz w:val="22"/>
              </w:rPr>
              <w:t>be</w:t>
            </w:r>
            <w:r>
              <w:rPr>
                <w:spacing w:val="-6"/>
                <w:sz w:val="22"/>
              </w:rPr>
              <w:t> </w:t>
            </w:r>
            <w:r>
              <w:rPr>
                <w:sz w:val="22"/>
              </w:rPr>
              <w:t>taken</w:t>
            </w:r>
            <w:r>
              <w:rPr>
                <w:spacing w:val="-6"/>
                <w:sz w:val="22"/>
              </w:rPr>
              <w:t> </w:t>
            </w:r>
            <w:r>
              <w:rPr>
                <w:sz w:val="22"/>
              </w:rPr>
              <w:t>in</w:t>
            </w:r>
            <w:r>
              <w:rPr>
                <w:spacing w:val="-4"/>
                <w:sz w:val="22"/>
              </w:rPr>
              <w:t> </w:t>
            </w:r>
            <w:r>
              <w:rPr>
                <w:sz w:val="22"/>
              </w:rPr>
              <w:t>accordance</w:t>
            </w:r>
            <w:r>
              <w:rPr>
                <w:spacing w:val="-4"/>
                <w:sz w:val="22"/>
              </w:rPr>
              <w:t> </w:t>
            </w:r>
            <w:r>
              <w:rPr>
                <w:sz w:val="22"/>
              </w:rPr>
              <w:t>with</w:t>
            </w:r>
            <w:r>
              <w:rPr>
                <w:spacing w:val="-4"/>
                <w:sz w:val="22"/>
              </w:rPr>
              <w:t> </w:t>
            </w:r>
            <w:r>
              <w:rPr>
                <w:sz w:val="22"/>
              </w:rPr>
              <w:t>Part</w:t>
            </w:r>
            <w:r>
              <w:rPr>
                <w:spacing w:val="-2"/>
                <w:sz w:val="22"/>
              </w:rPr>
              <w:t> </w:t>
            </w:r>
            <w:r>
              <w:rPr>
                <w:spacing w:val="-5"/>
                <w:sz w:val="22"/>
              </w:rPr>
              <w:t>II</w:t>
            </w:r>
          </w:p>
          <w:p>
            <w:pPr>
              <w:pStyle w:val="TableParagraph"/>
              <w:spacing w:line="234" w:lineRule="exact"/>
              <w:ind w:left="108"/>
              <w:rPr>
                <w:sz w:val="22"/>
              </w:rPr>
            </w:pPr>
            <w:r>
              <w:rPr>
                <w:sz w:val="22"/>
              </w:rPr>
              <w:t>H</w:t>
            </w:r>
            <w:r>
              <w:rPr>
                <w:spacing w:val="-3"/>
                <w:sz w:val="22"/>
              </w:rPr>
              <w:t> </w:t>
            </w:r>
            <w:r>
              <w:rPr>
                <w:sz w:val="22"/>
              </w:rPr>
              <w:t>2</w:t>
            </w:r>
            <w:r>
              <w:rPr>
                <w:spacing w:val="-1"/>
                <w:sz w:val="22"/>
              </w:rPr>
              <w:t> </w:t>
            </w:r>
            <w:r>
              <w:rPr>
                <w:sz w:val="22"/>
              </w:rPr>
              <w:t>of the</w:t>
            </w:r>
            <w:r>
              <w:rPr>
                <w:spacing w:val="-1"/>
                <w:sz w:val="22"/>
              </w:rPr>
              <w:t> </w:t>
            </w:r>
            <w:r>
              <w:rPr>
                <w:sz w:val="22"/>
              </w:rPr>
              <w:t>general </w:t>
            </w:r>
            <w:r>
              <w:rPr>
                <w:spacing w:val="-2"/>
                <w:sz w:val="22"/>
              </w:rPr>
              <w:t>permit.</w:t>
            </w:r>
          </w:p>
        </w:tc>
      </w:tr>
      <w:tr>
        <w:trPr>
          <w:trHeight w:val="757" w:hRule="atLeast"/>
        </w:trPr>
        <w:tc>
          <w:tcPr>
            <w:tcW w:w="1682" w:type="dxa"/>
            <w:vMerge/>
            <w:tcBorders>
              <w:top w:val="nil"/>
            </w:tcBorders>
          </w:tcPr>
          <w:p>
            <w:pPr>
              <w:rPr>
                <w:sz w:val="2"/>
                <w:szCs w:val="2"/>
              </w:rPr>
            </w:pPr>
          </w:p>
        </w:tc>
        <w:tc>
          <w:tcPr>
            <w:tcW w:w="1800" w:type="dxa"/>
          </w:tcPr>
          <w:p>
            <w:pPr>
              <w:pStyle w:val="TableParagraph"/>
              <w:spacing w:before="250"/>
              <w:ind w:left="1" w:right="86"/>
              <w:jc w:val="center"/>
              <w:rPr>
                <w:sz w:val="22"/>
              </w:rPr>
            </w:pPr>
            <w:r>
              <w:rPr>
                <w:sz w:val="22"/>
              </w:rPr>
              <w:t>Record</w:t>
            </w:r>
            <w:r>
              <w:rPr>
                <w:spacing w:val="-1"/>
                <w:sz w:val="22"/>
              </w:rPr>
              <w:t> </w:t>
            </w:r>
            <w:r>
              <w:rPr>
                <w:spacing w:val="-2"/>
                <w:sz w:val="22"/>
              </w:rPr>
              <w:t>Keeping</w:t>
            </w:r>
          </w:p>
        </w:tc>
        <w:tc>
          <w:tcPr>
            <w:tcW w:w="7265" w:type="dxa"/>
          </w:tcPr>
          <w:p>
            <w:pPr>
              <w:pStyle w:val="TableParagraph"/>
              <w:ind w:left="108" w:right="172"/>
              <w:rPr>
                <w:sz w:val="22"/>
              </w:rPr>
            </w:pPr>
            <w:r>
              <w:rPr>
                <w:sz w:val="22"/>
              </w:rPr>
              <w:t>Turbidity monitoring information (i.e., location, date, sample collection time, and</w:t>
            </w:r>
            <w:r>
              <w:rPr>
                <w:spacing w:val="-2"/>
                <w:sz w:val="22"/>
              </w:rPr>
              <w:t> </w:t>
            </w:r>
            <w:r>
              <w:rPr>
                <w:sz w:val="22"/>
              </w:rPr>
              <w:t>turbidity</w:t>
            </w:r>
            <w:r>
              <w:rPr>
                <w:spacing w:val="-5"/>
                <w:sz w:val="22"/>
              </w:rPr>
              <w:t> </w:t>
            </w:r>
            <w:r>
              <w:rPr>
                <w:sz w:val="22"/>
              </w:rPr>
              <w:t>measurement)</w:t>
            </w:r>
            <w:r>
              <w:rPr>
                <w:spacing w:val="-4"/>
                <w:sz w:val="22"/>
              </w:rPr>
              <w:t> </w:t>
            </w:r>
            <w:r>
              <w:rPr>
                <w:sz w:val="22"/>
              </w:rPr>
              <w:t>and</w:t>
            </w:r>
            <w:r>
              <w:rPr>
                <w:spacing w:val="-2"/>
                <w:sz w:val="22"/>
              </w:rPr>
              <w:t> </w:t>
            </w:r>
            <w:r>
              <w:rPr>
                <w:sz w:val="22"/>
              </w:rPr>
              <w:t>any</w:t>
            </w:r>
            <w:r>
              <w:rPr>
                <w:spacing w:val="-5"/>
                <w:sz w:val="22"/>
              </w:rPr>
              <w:t> </w:t>
            </w:r>
            <w:r>
              <w:rPr>
                <w:sz w:val="22"/>
              </w:rPr>
              <w:t>necessary</w:t>
            </w:r>
            <w:r>
              <w:rPr>
                <w:spacing w:val="-5"/>
                <w:sz w:val="22"/>
              </w:rPr>
              <w:t> </w:t>
            </w:r>
            <w:r>
              <w:rPr>
                <w:sz w:val="22"/>
              </w:rPr>
              <w:t>corrective</w:t>
            </w:r>
            <w:r>
              <w:rPr>
                <w:spacing w:val="-2"/>
                <w:sz w:val="22"/>
              </w:rPr>
              <w:t> </w:t>
            </w:r>
            <w:r>
              <w:rPr>
                <w:sz w:val="22"/>
              </w:rPr>
              <w:t>actions</w:t>
            </w:r>
            <w:r>
              <w:rPr>
                <w:spacing w:val="-2"/>
                <w:sz w:val="22"/>
              </w:rPr>
              <w:t> </w:t>
            </w:r>
            <w:r>
              <w:rPr>
                <w:sz w:val="22"/>
              </w:rPr>
              <w:t>taken</w:t>
            </w:r>
            <w:r>
              <w:rPr>
                <w:spacing w:val="-5"/>
                <w:sz w:val="22"/>
              </w:rPr>
              <w:t> </w:t>
            </w:r>
            <w:r>
              <w:rPr>
                <w:sz w:val="22"/>
              </w:rPr>
              <w:t>shall</w:t>
            </w:r>
            <w:r>
              <w:rPr>
                <w:spacing w:val="-4"/>
                <w:sz w:val="22"/>
              </w:rPr>
              <w:t> </w:t>
            </w:r>
            <w:r>
              <w:rPr>
                <w:sz w:val="22"/>
              </w:rPr>
              <w:t>be</w:t>
            </w:r>
          </w:p>
          <w:p>
            <w:pPr>
              <w:pStyle w:val="TableParagraph"/>
              <w:spacing w:line="233" w:lineRule="exact"/>
              <w:ind w:left="108"/>
              <w:rPr>
                <w:sz w:val="22"/>
              </w:rPr>
            </w:pPr>
            <w:r>
              <w:rPr>
                <w:sz w:val="22"/>
              </w:rPr>
              <w:t>recorded</w:t>
            </w:r>
            <w:r>
              <w:rPr>
                <w:spacing w:val="-6"/>
                <w:sz w:val="22"/>
              </w:rPr>
              <w:t> </w:t>
            </w:r>
            <w:r>
              <w:rPr>
                <w:sz w:val="22"/>
              </w:rPr>
              <w:t>in</w:t>
            </w:r>
            <w:r>
              <w:rPr>
                <w:spacing w:val="-3"/>
                <w:sz w:val="22"/>
              </w:rPr>
              <w:t> </w:t>
            </w:r>
            <w:r>
              <w:rPr>
                <w:sz w:val="22"/>
              </w:rPr>
              <w:t>the </w:t>
            </w:r>
            <w:r>
              <w:rPr>
                <w:spacing w:val="-4"/>
                <w:sz w:val="22"/>
              </w:rPr>
              <w:t>SWPPP</w:t>
            </w:r>
          </w:p>
        </w:tc>
      </w:tr>
    </w:tbl>
    <w:p>
      <w:pPr>
        <w:pStyle w:val="TableParagraph"/>
        <w:spacing w:after="0" w:line="233" w:lineRule="exact"/>
        <w:rPr>
          <w:sz w:val="22"/>
        </w:rPr>
        <w:sectPr>
          <w:pgSz w:w="12240" w:h="15840"/>
          <w:pgMar w:top="1540" w:bottom="940" w:left="720" w:right="720"/>
        </w:sectPr>
      </w:pPr>
    </w:p>
    <w:tbl>
      <w:tblPr>
        <w:tblW w:w="0" w:type="auto"/>
        <w:jc w:val="left"/>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2"/>
        <w:gridCol w:w="1800"/>
        <w:gridCol w:w="7265"/>
      </w:tblGrid>
      <w:tr>
        <w:trPr>
          <w:trHeight w:val="1449" w:hRule="atLeast"/>
        </w:trPr>
        <w:tc>
          <w:tcPr>
            <w:tcW w:w="1682" w:type="dxa"/>
            <w:vMerge w:val="restart"/>
          </w:tcPr>
          <w:p>
            <w:pPr>
              <w:pStyle w:val="TableParagraph"/>
              <w:rPr>
                <w:rFonts w:ascii="Cambria"/>
                <w:b/>
                <w:sz w:val="22"/>
              </w:rPr>
            </w:pPr>
          </w:p>
          <w:p>
            <w:pPr>
              <w:pStyle w:val="TableParagraph"/>
              <w:rPr>
                <w:rFonts w:ascii="Cambria"/>
                <w:b/>
                <w:sz w:val="22"/>
              </w:rPr>
            </w:pPr>
          </w:p>
          <w:p>
            <w:pPr>
              <w:pStyle w:val="TableParagraph"/>
              <w:rPr>
                <w:rFonts w:ascii="Cambria"/>
                <w:b/>
                <w:sz w:val="22"/>
              </w:rPr>
            </w:pPr>
          </w:p>
          <w:p>
            <w:pPr>
              <w:pStyle w:val="TableParagraph"/>
              <w:rPr>
                <w:rFonts w:ascii="Cambria"/>
                <w:b/>
                <w:sz w:val="22"/>
              </w:rPr>
            </w:pPr>
          </w:p>
          <w:p>
            <w:pPr>
              <w:pStyle w:val="TableParagraph"/>
              <w:rPr>
                <w:rFonts w:ascii="Cambria"/>
                <w:b/>
                <w:sz w:val="22"/>
              </w:rPr>
            </w:pPr>
          </w:p>
          <w:p>
            <w:pPr>
              <w:pStyle w:val="TableParagraph"/>
              <w:rPr>
                <w:rFonts w:ascii="Cambria"/>
                <w:b/>
                <w:sz w:val="22"/>
              </w:rPr>
            </w:pPr>
          </w:p>
          <w:p>
            <w:pPr>
              <w:pStyle w:val="TableParagraph"/>
              <w:rPr>
                <w:rFonts w:ascii="Cambria"/>
                <w:b/>
                <w:sz w:val="22"/>
              </w:rPr>
            </w:pPr>
          </w:p>
          <w:p>
            <w:pPr>
              <w:pStyle w:val="TableParagraph"/>
              <w:rPr>
                <w:rFonts w:ascii="Cambria"/>
                <w:b/>
                <w:sz w:val="22"/>
              </w:rPr>
            </w:pPr>
          </w:p>
          <w:p>
            <w:pPr>
              <w:pStyle w:val="TableParagraph"/>
              <w:rPr>
                <w:rFonts w:ascii="Cambria"/>
                <w:b/>
                <w:sz w:val="22"/>
              </w:rPr>
            </w:pPr>
          </w:p>
          <w:p>
            <w:pPr>
              <w:pStyle w:val="TableParagraph"/>
              <w:spacing w:before="71"/>
              <w:rPr>
                <w:rFonts w:ascii="Cambria"/>
                <w:b/>
                <w:sz w:val="22"/>
              </w:rPr>
            </w:pPr>
          </w:p>
          <w:p>
            <w:pPr>
              <w:pStyle w:val="TableParagraph"/>
              <w:ind w:left="268" w:right="383" w:hanging="3"/>
              <w:jc w:val="center"/>
              <w:rPr>
                <w:sz w:val="22"/>
              </w:rPr>
            </w:pPr>
            <w:r>
              <w:rPr>
                <w:spacing w:val="-2"/>
                <w:sz w:val="22"/>
              </w:rPr>
              <w:t>Turbidity Benchmark </w:t>
            </w:r>
            <w:r>
              <w:rPr>
                <w:sz w:val="22"/>
              </w:rPr>
              <w:t>Option #2</w:t>
            </w:r>
          </w:p>
        </w:tc>
        <w:tc>
          <w:tcPr>
            <w:tcW w:w="1800" w:type="dxa"/>
          </w:tcPr>
          <w:p>
            <w:pPr>
              <w:pStyle w:val="TableParagraph"/>
              <w:rPr>
                <w:rFonts w:ascii="Cambria"/>
                <w:b/>
                <w:sz w:val="21"/>
              </w:rPr>
            </w:pPr>
          </w:p>
          <w:p>
            <w:pPr>
              <w:pStyle w:val="TableParagraph"/>
              <w:spacing w:before="110"/>
              <w:rPr>
                <w:rFonts w:ascii="Cambria"/>
                <w:b/>
                <w:sz w:val="21"/>
              </w:rPr>
            </w:pPr>
          </w:p>
          <w:p>
            <w:pPr>
              <w:pStyle w:val="TableParagraph"/>
              <w:ind w:right="151"/>
              <w:jc w:val="right"/>
              <w:rPr>
                <w:sz w:val="21"/>
              </w:rPr>
            </w:pPr>
            <w:r>
              <w:rPr>
                <w:sz w:val="21"/>
              </w:rPr>
              <w:t>Sample</w:t>
            </w:r>
            <w:r>
              <w:rPr>
                <w:spacing w:val="-5"/>
                <w:sz w:val="21"/>
              </w:rPr>
              <w:t> </w:t>
            </w:r>
            <w:r>
              <w:rPr>
                <w:spacing w:val="-2"/>
                <w:sz w:val="21"/>
              </w:rPr>
              <w:t>Frequency</w:t>
            </w:r>
          </w:p>
        </w:tc>
        <w:tc>
          <w:tcPr>
            <w:tcW w:w="7265" w:type="dxa"/>
          </w:tcPr>
          <w:p>
            <w:pPr>
              <w:pStyle w:val="TableParagraph"/>
              <w:ind w:left="108"/>
              <w:rPr>
                <w:sz w:val="21"/>
              </w:rPr>
            </w:pPr>
            <w:r>
              <w:rPr>
                <w:sz w:val="21"/>
              </w:rPr>
              <w:t>At least one grab sample shall be collected from each construction dewatering discharge when the first discharge at that location occurs, daily thereafter until the dewatering discharge stops, and after any installation of new controls or routine maintenance</w:t>
            </w:r>
            <w:r>
              <w:rPr>
                <w:spacing w:val="-3"/>
                <w:sz w:val="21"/>
              </w:rPr>
              <w:t> </w:t>
            </w:r>
            <w:r>
              <w:rPr>
                <w:sz w:val="21"/>
              </w:rPr>
              <w:t>activity</w:t>
            </w:r>
            <w:r>
              <w:rPr>
                <w:spacing w:val="-3"/>
                <w:sz w:val="21"/>
              </w:rPr>
              <w:t> </w:t>
            </w:r>
            <w:r>
              <w:rPr>
                <w:sz w:val="21"/>
              </w:rPr>
              <w:t>of</w:t>
            </w:r>
            <w:r>
              <w:rPr>
                <w:spacing w:val="-4"/>
                <w:sz w:val="21"/>
              </w:rPr>
              <w:t> </w:t>
            </w:r>
            <w:r>
              <w:rPr>
                <w:sz w:val="21"/>
              </w:rPr>
              <w:t>existing</w:t>
            </w:r>
            <w:r>
              <w:rPr>
                <w:spacing w:val="-3"/>
                <w:sz w:val="21"/>
              </w:rPr>
              <w:t> </w:t>
            </w:r>
            <w:r>
              <w:rPr>
                <w:sz w:val="21"/>
              </w:rPr>
              <w:t>controls.</w:t>
            </w:r>
            <w:r>
              <w:rPr>
                <w:spacing w:val="-3"/>
                <w:sz w:val="21"/>
              </w:rPr>
              <w:t> </w:t>
            </w:r>
            <w:r>
              <w:rPr>
                <w:sz w:val="21"/>
              </w:rPr>
              <w:t>Grab</w:t>
            </w:r>
            <w:r>
              <w:rPr>
                <w:spacing w:val="-3"/>
                <w:sz w:val="21"/>
              </w:rPr>
              <w:t> </w:t>
            </w:r>
            <w:r>
              <w:rPr>
                <w:sz w:val="21"/>
              </w:rPr>
              <w:t>samples</w:t>
            </w:r>
            <w:r>
              <w:rPr>
                <w:spacing w:val="-4"/>
                <w:sz w:val="21"/>
              </w:rPr>
              <w:t> </w:t>
            </w:r>
            <w:r>
              <w:rPr>
                <w:sz w:val="21"/>
              </w:rPr>
              <w:t>shall</w:t>
            </w:r>
            <w:r>
              <w:rPr>
                <w:spacing w:val="-4"/>
                <w:sz w:val="21"/>
              </w:rPr>
              <w:t> </w:t>
            </w:r>
            <w:r>
              <w:rPr>
                <w:sz w:val="21"/>
              </w:rPr>
              <w:t>be</w:t>
            </w:r>
            <w:r>
              <w:rPr>
                <w:spacing w:val="-3"/>
                <w:sz w:val="21"/>
              </w:rPr>
              <w:t> </w:t>
            </w:r>
            <w:r>
              <w:rPr>
                <w:sz w:val="21"/>
              </w:rPr>
              <w:t>tested</w:t>
            </w:r>
            <w:r>
              <w:rPr>
                <w:spacing w:val="-3"/>
                <w:sz w:val="21"/>
              </w:rPr>
              <w:t> </w:t>
            </w:r>
            <w:r>
              <w:rPr>
                <w:sz w:val="21"/>
              </w:rPr>
              <w:t>to</w:t>
            </w:r>
            <w:r>
              <w:rPr>
                <w:spacing w:val="-3"/>
                <w:sz w:val="21"/>
              </w:rPr>
              <w:t> </w:t>
            </w:r>
            <w:r>
              <w:rPr>
                <w:sz w:val="21"/>
              </w:rPr>
              <w:t>confirm</w:t>
            </w:r>
            <w:r>
              <w:rPr>
                <w:spacing w:val="-4"/>
                <w:sz w:val="21"/>
              </w:rPr>
              <w:t> </w:t>
            </w:r>
            <w:r>
              <w:rPr>
                <w:sz w:val="21"/>
              </w:rPr>
              <w:t>a turbidity measurement of equal to or less than 150 NTUs/FTUs from the</w:t>
            </w:r>
          </w:p>
          <w:p>
            <w:pPr>
              <w:pStyle w:val="TableParagraph"/>
              <w:spacing w:line="221" w:lineRule="exact"/>
              <w:ind w:left="108"/>
              <w:rPr>
                <w:sz w:val="21"/>
              </w:rPr>
            </w:pPr>
            <w:r>
              <w:rPr>
                <w:sz w:val="21"/>
              </w:rPr>
              <w:t>construction</w:t>
            </w:r>
            <w:r>
              <w:rPr>
                <w:spacing w:val="-11"/>
                <w:sz w:val="21"/>
              </w:rPr>
              <w:t> </w:t>
            </w:r>
            <w:r>
              <w:rPr>
                <w:sz w:val="21"/>
              </w:rPr>
              <w:t>dewatering</w:t>
            </w:r>
            <w:r>
              <w:rPr>
                <w:spacing w:val="-10"/>
                <w:sz w:val="21"/>
              </w:rPr>
              <w:t> </w:t>
            </w:r>
            <w:r>
              <w:rPr>
                <w:spacing w:val="-2"/>
                <w:sz w:val="21"/>
              </w:rPr>
              <w:t>discharge.</w:t>
            </w:r>
          </w:p>
        </w:tc>
      </w:tr>
      <w:tr>
        <w:trPr>
          <w:trHeight w:val="724" w:hRule="atLeast"/>
        </w:trPr>
        <w:tc>
          <w:tcPr>
            <w:tcW w:w="1682" w:type="dxa"/>
            <w:vMerge/>
            <w:tcBorders>
              <w:top w:val="nil"/>
            </w:tcBorders>
          </w:tcPr>
          <w:p>
            <w:pPr>
              <w:rPr>
                <w:sz w:val="2"/>
                <w:szCs w:val="2"/>
              </w:rPr>
            </w:pPr>
          </w:p>
        </w:tc>
        <w:tc>
          <w:tcPr>
            <w:tcW w:w="1800" w:type="dxa"/>
          </w:tcPr>
          <w:p>
            <w:pPr>
              <w:pStyle w:val="TableParagraph"/>
              <w:spacing w:before="240"/>
              <w:ind w:left="199"/>
              <w:rPr>
                <w:sz w:val="21"/>
              </w:rPr>
            </w:pPr>
            <w:r>
              <w:rPr>
                <w:sz w:val="21"/>
              </w:rPr>
              <w:t>Sample</w:t>
            </w:r>
            <w:r>
              <w:rPr>
                <w:spacing w:val="-5"/>
                <w:sz w:val="21"/>
              </w:rPr>
              <w:t> </w:t>
            </w:r>
            <w:r>
              <w:rPr>
                <w:spacing w:val="-2"/>
                <w:sz w:val="21"/>
              </w:rPr>
              <w:t>Timing</w:t>
            </w:r>
          </w:p>
        </w:tc>
        <w:tc>
          <w:tcPr>
            <w:tcW w:w="7265" w:type="dxa"/>
          </w:tcPr>
          <w:p>
            <w:pPr>
              <w:pStyle w:val="TableParagraph"/>
              <w:ind w:left="108"/>
              <w:rPr>
                <w:sz w:val="21"/>
              </w:rPr>
            </w:pPr>
            <w:r>
              <w:rPr>
                <w:sz w:val="21"/>
              </w:rPr>
              <w:t>Grab</w:t>
            </w:r>
            <w:r>
              <w:rPr>
                <w:spacing w:val="-3"/>
                <w:sz w:val="21"/>
              </w:rPr>
              <w:t> </w:t>
            </w:r>
            <w:r>
              <w:rPr>
                <w:sz w:val="21"/>
              </w:rPr>
              <w:t>samples</w:t>
            </w:r>
            <w:r>
              <w:rPr>
                <w:spacing w:val="-6"/>
                <w:sz w:val="21"/>
              </w:rPr>
              <w:t> </w:t>
            </w:r>
            <w:r>
              <w:rPr>
                <w:sz w:val="21"/>
              </w:rPr>
              <w:t>of</w:t>
            </w:r>
            <w:r>
              <w:rPr>
                <w:spacing w:val="-4"/>
                <w:sz w:val="21"/>
              </w:rPr>
              <w:t> </w:t>
            </w:r>
            <w:r>
              <w:rPr>
                <w:sz w:val="21"/>
              </w:rPr>
              <w:t>the</w:t>
            </w:r>
            <w:r>
              <w:rPr>
                <w:spacing w:val="-3"/>
                <w:sz w:val="21"/>
              </w:rPr>
              <w:t> </w:t>
            </w:r>
            <w:r>
              <w:rPr>
                <w:sz w:val="21"/>
              </w:rPr>
              <w:t>construction</w:t>
            </w:r>
            <w:r>
              <w:rPr>
                <w:spacing w:val="-3"/>
                <w:sz w:val="21"/>
              </w:rPr>
              <w:t> </w:t>
            </w:r>
            <w:r>
              <w:rPr>
                <w:sz w:val="21"/>
              </w:rPr>
              <w:t>dewatering</w:t>
            </w:r>
            <w:r>
              <w:rPr>
                <w:spacing w:val="-6"/>
                <w:sz w:val="21"/>
              </w:rPr>
              <w:t> </w:t>
            </w:r>
            <w:r>
              <w:rPr>
                <w:sz w:val="21"/>
              </w:rPr>
              <w:t>discharge</w:t>
            </w:r>
            <w:r>
              <w:rPr>
                <w:spacing w:val="-3"/>
                <w:sz w:val="21"/>
              </w:rPr>
              <w:t> </w:t>
            </w:r>
            <w:r>
              <w:rPr>
                <w:sz w:val="21"/>
              </w:rPr>
              <w:t>shall</w:t>
            </w:r>
            <w:r>
              <w:rPr>
                <w:spacing w:val="-4"/>
                <w:sz w:val="21"/>
              </w:rPr>
              <w:t> </w:t>
            </w:r>
            <w:r>
              <w:rPr>
                <w:sz w:val="21"/>
              </w:rPr>
              <w:t>be</w:t>
            </w:r>
            <w:r>
              <w:rPr>
                <w:spacing w:val="-3"/>
                <w:sz w:val="21"/>
              </w:rPr>
              <w:t> </w:t>
            </w:r>
            <w:r>
              <w:rPr>
                <w:sz w:val="21"/>
              </w:rPr>
              <w:t>collected</w:t>
            </w:r>
            <w:r>
              <w:rPr>
                <w:spacing w:val="-3"/>
                <w:sz w:val="21"/>
              </w:rPr>
              <w:t> </w:t>
            </w:r>
            <w:r>
              <w:rPr>
                <w:sz w:val="21"/>
              </w:rPr>
              <w:t>during</w:t>
            </w:r>
            <w:r>
              <w:rPr>
                <w:spacing w:val="-3"/>
                <w:sz w:val="21"/>
              </w:rPr>
              <w:t> </w:t>
            </w:r>
            <w:r>
              <w:rPr>
                <w:sz w:val="21"/>
              </w:rPr>
              <w:t>the first 15 minutes of the construction dewatering discharge and daily thereafter until</w:t>
            </w:r>
          </w:p>
          <w:p>
            <w:pPr>
              <w:pStyle w:val="TableParagraph"/>
              <w:spacing w:line="221" w:lineRule="exact"/>
              <w:ind w:left="108"/>
              <w:rPr>
                <w:sz w:val="21"/>
              </w:rPr>
            </w:pPr>
            <w:r>
              <w:rPr>
                <w:sz w:val="21"/>
              </w:rPr>
              <w:t>the</w:t>
            </w:r>
            <w:r>
              <w:rPr>
                <w:spacing w:val="-6"/>
                <w:sz w:val="21"/>
              </w:rPr>
              <w:t> </w:t>
            </w:r>
            <w:r>
              <w:rPr>
                <w:sz w:val="21"/>
              </w:rPr>
              <w:t>dewatering</w:t>
            </w:r>
            <w:r>
              <w:rPr>
                <w:spacing w:val="-6"/>
                <w:sz w:val="21"/>
              </w:rPr>
              <w:t> </w:t>
            </w:r>
            <w:r>
              <w:rPr>
                <w:sz w:val="21"/>
              </w:rPr>
              <w:t>discharge</w:t>
            </w:r>
            <w:r>
              <w:rPr>
                <w:spacing w:val="-6"/>
                <w:sz w:val="21"/>
              </w:rPr>
              <w:t> </w:t>
            </w:r>
            <w:r>
              <w:rPr>
                <w:spacing w:val="-2"/>
                <w:sz w:val="21"/>
              </w:rPr>
              <w:t>stops.</w:t>
            </w:r>
          </w:p>
        </w:tc>
      </w:tr>
      <w:tr>
        <w:trPr>
          <w:trHeight w:val="724" w:hRule="atLeast"/>
        </w:trPr>
        <w:tc>
          <w:tcPr>
            <w:tcW w:w="1682" w:type="dxa"/>
            <w:vMerge/>
            <w:tcBorders>
              <w:top w:val="nil"/>
            </w:tcBorders>
          </w:tcPr>
          <w:p>
            <w:pPr>
              <w:rPr>
                <w:sz w:val="2"/>
                <w:szCs w:val="2"/>
              </w:rPr>
            </w:pPr>
          </w:p>
        </w:tc>
        <w:tc>
          <w:tcPr>
            <w:tcW w:w="1800" w:type="dxa"/>
          </w:tcPr>
          <w:p>
            <w:pPr>
              <w:pStyle w:val="TableParagraph"/>
              <w:spacing w:before="240"/>
              <w:ind w:right="220"/>
              <w:jc w:val="right"/>
              <w:rPr>
                <w:sz w:val="21"/>
              </w:rPr>
            </w:pPr>
            <w:r>
              <w:rPr>
                <w:sz w:val="21"/>
              </w:rPr>
              <w:t>Sample</w:t>
            </w:r>
            <w:r>
              <w:rPr>
                <w:spacing w:val="-7"/>
                <w:sz w:val="21"/>
              </w:rPr>
              <w:t> </w:t>
            </w:r>
            <w:r>
              <w:rPr>
                <w:spacing w:val="-2"/>
                <w:sz w:val="21"/>
              </w:rPr>
              <w:t>Location</w:t>
            </w:r>
          </w:p>
        </w:tc>
        <w:tc>
          <w:tcPr>
            <w:tcW w:w="7265" w:type="dxa"/>
          </w:tcPr>
          <w:p>
            <w:pPr>
              <w:pStyle w:val="TableParagraph"/>
              <w:ind w:left="108" w:right="172"/>
              <w:rPr>
                <w:sz w:val="21"/>
              </w:rPr>
            </w:pPr>
            <w:r>
              <w:rPr>
                <w:sz w:val="21"/>
              </w:rPr>
              <w:t>Grab</w:t>
            </w:r>
            <w:r>
              <w:rPr>
                <w:spacing w:val="-3"/>
                <w:sz w:val="21"/>
              </w:rPr>
              <w:t> </w:t>
            </w:r>
            <w:r>
              <w:rPr>
                <w:sz w:val="21"/>
              </w:rPr>
              <w:t>samples</w:t>
            </w:r>
            <w:r>
              <w:rPr>
                <w:spacing w:val="-4"/>
                <w:sz w:val="21"/>
              </w:rPr>
              <w:t> </w:t>
            </w:r>
            <w:r>
              <w:rPr>
                <w:sz w:val="21"/>
              </w:rPr>
              <w:t>shall</w:t>
            </w:r>
            <w:r>
              <w:rPr>
                <w:spacing w:val="-4"/>
                <w:sz w:val="21"/>
              </w:rPr>
              <w:t> </w:t>
            </w:r>
            <w:r>
              <w:rPr>
                <w:sz w:val="21"/>
              </w:rPr>
              <w:t>be</w:t>
            </w:r>
            <w:r>
              <w:rPr>
                <w:spacing w:val="-3"/>
                <w:sz w:val="21"/>
              </w:rPr>
              <w:t> </w:t>
            </w:r>
            <w:r>
              <w:rPr>
                <w:sz w:val="21"/>
              </w:rPr>
              <w:t>collected</w:t>
            </w:r>
            <w:r>
              <w:rPr>
                <w:spacing w:val="-3"/>
                <w:sz w:val="21"/>
              </w:rPr>
              <w:t> </w:t>
            </w:r>
            <w:r>
              <w:rPr>
                <w:sz w:val="21"/>
              </w:rPr>
              <w:t>after</w:t>
            </w:r>
            <w:r>
              <w:rPr>
                <w:spacing w:val="-4"/>
                <w:sz w:val="21"/>
              </w:rPr>
              <w:t> </w:t>
            </w:r>
            <w:r>
              <w:rPr>
                <w:sz w:val="21"/>
              </w:rPr>
              <w:t>the</w:t>
            </w:r>
            <w:r>
              <w:rPr>
                <w:spacing w:val="-3"/>
                <w:sz w:val="21"/>
              </w:rPr>
              <w:t> </w:t>
            </w:r>
            <w:r>
              <w:rPr>
                <w:sz w:val="21"/>
              </w:rPr>
              <w:t>construction</w:t>
            </w:r>
            <w:r>
              <w:rPr>
                <w:spacing w:val="-3"/>
                <w:sz w:val="21"/>
              </w:rPr>
              <w:t> </w:t>
            </w:r>
            <w:r>
              <w:rPr>
                <w:sz w:val="21"/>
              </w:rPr>
              <w:t>dewatering</w:t>
            </w:r>
            <w:r>
              <w:rPr>
                <w:spacing w:val="-6"/>
                <w:sz w:val="21"/>
              </w:rPr>
              <w:t> </w:t>
            </w:r>
            <w:r>
              <w:rPr>
                <w:sz w:val="21"/>
              </w:rPr>
              <w:t>water</w:t>
            </w:r>
            <w:r>
              <w:rPr>
                <w:spacing w:val="-4"/>
                <w:sz w:val="21"/>
              </w:rPr>
              <w:t> </w:t>
            </w:r>
            <w:r>
              <w:rPr>
                <w:sz w:val="21"/>
              </w:rPr>
              <w:t>has</w:t>
            </w:r>
            <w:r>
              <w:rPr>
                <w:spacing w:val="-4"/>
                <w:sz w:val="21"/>
              </w:rPr>
              <w:t> </w:t>
            </w:r>
            <w:r>
              <w:rPr>
                <w:sz w:val="21"/>
              </w:rPr>
              <w:t>been filtered, settled, or similarly treated and prior to its discharge into a stormwater</w:t>
            </w:r>
          </w:p>
          <w:p>
            <w:pPr>
              <w:pStyle w:val="TableParagraph"/>
              <w:spacing w:line="221" w:lineRule="exact"/>
              <w:ind w:left="108"/>
              <w:rPr>
                <w:sz w:val="21"/>
              </w:rPr>
            </w:pPr>
            <w:r>
              <w:rPr>
                <w:sz w:val="21"/>
              </w:rPr>
              <w:t>conveyance</w:t>
            </w:r>
            <w:r>
              <w:rPr>
                <w:spacing w:val="-6"/>
                <w:sz w:val="21"/>
              </w:rPr>
              <w:t> </w:t>
            </w:r>
            <w:r>
              <w:rPr>
                <w:sz w:val="21"/>
              </w:rPr>
              <w:t>system</w:t>
            </w:r>
            <w:r>
              <w:rPr>
                <w:spacing w:val="-5"/>
                <w:sz w:val="21"/>
              </w:rPr>
              <w:t> </w:t>
            </w:r>
            <w:r>
              <w:rPr>
                <w:sz w:val="21"/>
              </w:rPr>
              <w:t>or</w:t>
            </w:r>
            <w:r>
              <w:rPr>
                <w:spacing w:val="-6"/>
                <w:sz w:val="21"/>
              </w:rPr>
              <w:t> </w:t>
            </w:r>
            <w:r>
              <w:rPr>
                <w:sz w:val="21"/>
              </w:rPr>
              <w:t>surface</w:t>
            </w:r>
            <w:r>
              <w:rPr>
                <w:spacing w:val="-5"/>
                <w:sz w:val="21"/>
              </w:rPr>
              <w:t> </w:t>
            </w:r>
            <w:r>
              <w:rPr>
                <w:spacing w:val="-2"/>
                <w:sz w:val="21"/>
              </w:rPr>
              <w:t>water.</w:t>
            </w:r>
          </w:p>
        </w:tc>
      </w:tr>
      <w:tr>
        <w:trPr>
          <w:trHeight w:val="1206" w:hRule="atLeast"/>
        </w:trPr>
        <w:tc>
          <w:tcPr>
            <w:tcW w:w="1682" w:type="dxa"/>
            <w:vMerge/>
            <w:tcBorders>
              <w:top w:val="nil"/>
            </w:tcBorders>
          </w:tcPr>
          <w:p>
            <w:pPr>
              <w:rPr>
                <w:sz w:val="2"/>
                <w:szCs w:val="2"/>
              </w:rPr>
            </w:pPr>
          </w:p>
        </w:tc>
        <w:tc>
          <w:tcPr>
            <w:tcW w:w="1800" w:type="dxa"/>
          </w:tcPr>
          <w:p>
            <w:pPr>
              <w:pStyle w:val="TableParagraph"/>
              <w:spacing w:before="236"/>
              <w:rPr>
                <w:rFonts w:ascii="Cambria"/>
                <w:b/>
                <w:sz w:val="21"/>
              </w:rPr>
            </w:pPr>
          </w:p>
          <w:p>
            <w:pPr>
              <w:pStyle w:val="TableParagraph"/>
              <w:ind w:left="276"/>
              <w:rPr>
                <w:sz w:val="21"/>
              </w:rPr>
            </w:pPr>
            <w:r>
              <w:rPr>
                <w:sz w:val="21"/>
              </w:rPr>
              <w:t>Test</w:t>
            </w:r>
            <w:r>
              <w:rPr>
                <w:spacing w:val="-5"/>
                <w:sz w:val="21"/>
              </w:rPr>
              <w:t> </w:t>
            </w:r>
            <w:r>
              <w:rPr>
                <w:spacing w:val="-2"/>
                <w:sz w:val="21"/>
              </w:rPr>
              <w:t>Methods</w:t>
            </w:r>
          </w:p>
        </w:tc>
        <w:tc>
          <w:tcPr>
            <w:tcW w:w="7265" w:type="dxa"/>
          </w:tcPr>
          <w:p>
            <w:pPr>
              <w:pStyle w:val="TableParagraph"/>
              <w:ind w:left="108" w:right="172"/>
              <w:rPr>
                <w:sz w:val="21"/>
              </w:rPr>
            </w:pPr>
            <w:r>
              <w:rPr>
                <w:sz w:val="21"/>
              </w:rPr>
              <w:t>Grab samples taken as required by this subdivision 8 shall be measured using a turbidity meter that reports results in nephelometric turbidity units (NTUs) or formazin</w:t>
            </w:r>
            <w:r>
              <w:rPr>
                <w:spacing w:val="-4"/>
                <w:sz w:val="21"/>
              </w:rPr>
              <w:t> </w:t>
            </w:r>
            <w:r>
              <w:rPr>
                <w:sz w:val="21"/>
              </w:rPr>
              <w:t>turbidity</w:t>
            </w:r>
            <w:r>
              <w:rPr>
                <w:spacing w:val="-4"/>
                <w:sz w:val="21"/>
              </w:rPr>
              <w:t> </w:t>
            </w:r>
            <w:r>
              <w:rPr>
                <w:sz w:val="21"/>
              </w:rPr>
              <w:t>unit</w:t>
            </w:r>
            <w:r>
              <w:rPr>
                <w:spacing w:val="-5"/>
                <w:sz w:val="21"/>
              </w:rPr>
              <w:t> </w:t>
            </w:r>
            <w:r>
              <w:rPr>
                <w:sz w:val="21"/>
              </w:rPr>
              <w:t>(FTUs),</w:t>
            </w:r>
            <w:r>
              <w:rPr>
                <w:spacing w:val="-4"/>
                <w:sz w:val="21"/>
              </w:rPr>
              <w:t> </w:t>
            </w:r>
            <w:r>
              <w:rPr>
                <w:sz w:val="21"/>
              </w:rPr>
              <w:t>and</w:t>
            </w:r>
            <w:r>
              <w:rPr>
                <w:spacing w:val="-4"/>
                <w:sz w:val="21"/>
              </w:rPr>
              <w:t> </w:t>
            </w:r>
            <w:r>
              <w:rPr>
                <w:sz w:val="21"/>
              </w:rPr>
              <w:t>a</w:t>
            </w:r>
            <w:r>
              <w:rPr>
                <w:spacing w:val="-4"/>
                <w:sz w:val="21"/>
              </w:rPr>
              <w:t> </w:t>
            </w:r>
            <w:r>
              <w:rPr>
                <w:sz w:val="21"/>
              </w:rPr>
              <w:t>turbidity</w:t>
            </w:r>
            <w:r>
              <w:rPr>
                <w:spacing w:val="-4"/>
                <w:sz w:val="21"/>
              </w:rPr>
              <w:t> </w:t>
            </w:r>
            <w:r>
              <w:rPr>
                <w:sz w:val="21"/>
              </w:rPr>
              <w:t>meter</w:t>
            </w:r>
            <w:r>
              <w:rPr>
                <w:spacing w:val="-5"/>
                <w:sz w:val="21"/>
              </w:rPr>
              <w:t> </w:t>
            </w:r>
            <w:r>
              <w:rPr>
                <w:sz w:val="21"/>
              </w:rPr>
              <w:t>calibration</w:t>
            </w:r>
            <w:r>
              <w:rPr>
                <w:spacing w:val="-4"/>
                <w:sz w:val="21"/>
              </w:rPr>
              <w:t> </w:t>
            </w:r>
            <w:r>
              <w:rPr>
                <w:sz w:val="21"/>
              </w:rPr>
              <w:t>verification</w:t>
            </w:r>
            <w:r>
              <w:rPr>
                <w:spacing w:val="-4"/>
                <w:sz w:val="21"/>
              </w:rPr>
              <w:t> </w:t>
            </w:r>
            <w:r>
              <w:rPr>
                <w:sz w:val="21"/>
              </w:rPr>
              <w:t>shall</w:t>
            </w:r>
          </w:p>
          <w:p>
            <w:pPr>
              <w:pStyle w:val="TableParagraph"/>
              <w:spacing w:line="240" w:lineRule="exact"/>
              <w:ind w:left="108" w:right="172"/>
              <w:rPr>
                <w:sz w:val="21"/>
              </w:rPr>
            </w:pPr>
            <w:r>
              <w:rPr>
                <w:sz w:val="21"/>
              </w:rPr>
              <w:t>be</w:t>
            </w:r>
            <w:r>
              <w:rPr>
                <w:spacing w:val="-4"/>
                <w:sz w:val="21"/>
              </w:rPr>
              <w:t> </w:t>
            </w:r>
            <w:r>
              <w:rPr>
                <w:sz w:val="21"/>
              </w:rPr>
              <w:t>conducted</w:t>
            </w:r>
            <w:r>
              <w:rPr>
                <w:spacing w:val="-4"/>
                <w:sz w:val="21"/>
              </w:rPr>
              <w:t> </w:t>
            </w:r>
            <w:r>
              <w:rPr>
                <w:sz w:val="21"/>
              </w:rPr>
              <w:t>prior</w:t>
            </w:r>
            <w:r>
              <w:rPr>
                <w:spacing w:val="-5"/>
                <w:sz w:val="21"/>
              </w:rPr>
              <w:t> </w:t>
            </w:r>
            <w:r>
              <w:rPr>
                <w:sz w:val="21"/>
              </w:rPr>
              <w:t>to</w:t>
            </w:r>
            <w:r>
              <w:rPr>
                <w:spacing w:val="-4"/>
                <w:sz w:val="21"/>
              </w:rPr>
              <w:t> </w:t>
            </w:r>
            <w:r>
              <w:rPr>
                <w:sz w:val="21"/>
              </w:rPr>
              <w:t>each</w:t>
            </w:r>
            <w:r>
              <w:rPr>
                <w:spacing w:val="-4"/>
                <w:sz w:val="21"/>
              </w:rPr>
              <w:t> </w:t>
            </w:r>
            <w:r>
              <w:rPr>
                <w:sz w:val="21"/>
              </w:rPr>
              <w:t>day’s</w:t>
            </w:r>
            <w:r>
              <w:rPr>
                <w:spacing w:val="-5"/>
                <w:sz w:val="21"/>
              </w:rPr>
              <w:t> </w:t>
            </w:r>
            <w:r>
              <w:rPr>
                <w:sz w:val="21"/>
              </w:rPr>
              <w:t>use,</w:t>
            </w:r>
            <w:r>
              <w:rPr>
                <w:spacing w:val="-4"/>
                <w:sz w:val="21"/>
              </w:rPr>
              <w:t> </w:t>
            </w:r>
            <w:r>
              <w:rPr>
                <w:sz w:val="21"/>
              </w:rPr>
              <w:t>consistent</w:t>
            </w:r>
            <w:r>
              <w:rPr>
                <w:spacing w:val="-5"/>
                <w:sz w:val="21"/>
              </w:rPr>
              <w:t> </w:t>
            </w:r>
            <w:r>
              <w:rPr>
                <w:sz w:val="21"/>
              </w:rPr>
              <w:t>with</w:t>
            </w:r>
            <w:r>
              <w:rPr>
                <w:spacing w:val="-4"/>
                <w:sz w:val="21"/>
              </w:rPr>
              <w:t> </w:t>
            </w:r>
            <w:r>
              <w:rPr>
                <w:sz w:val="21"/>
              </w:rPr>
              <w:t>manufacturer </w:t>
            </w:r>
            <w:r>
              <w:rPr>
                <w:spacing w:val="-2"/>
                <w:sz w:val="21"/>
              </w:rPr>
              <w:t>recommendations.</w:t>
            </w:r>
          </w:p>
        </w:tc>
      </w:tr>
      <w:tr>
        <w:trPr>
          <w:trHeight w:val="484" w:hRule="atLeast"/>
        </w:trPr>
        <w:tc>
          <w:tcPr>
            <w:tcW w:w="1682" w:type="dxa"/>
            <w:vMerge/>
            <w:tcBorders>
              <w:top w:val="nil"/>
            </w:tcBorders>
          </w:tcPr>
          <w:p>
            <w:pPr>
              <w:rPr>
                <w:sz w:val="2"/>
                <w:szCs w:val="2"/>
              </w:rPr>
            </w:pPr>
          </w:p>
        </w:tc>
        <w:tc>
          <w:tcPr>
            <w:tcW w:w="1800" w:type="dxa"/>
          </w:tcPr>
          <w:p>
            <w:pPr>
              <w:pStyle w:val="TableParagraph"/>
              <w:spacing w:before="120"/>
              <w:ind w:right="155"/>
              <w:jc w:val="right"/>
              <w:rPr>
                <w:sz w:val="21"/>
              </w:rPr>
            </w:pPr>
            <w:r>
              <w:rPr>
                <w:sz w:val="21"/>
              </w:rPr>
              <w:t>Visual</w:t>
            </w:r>
            <w:r>
              <w:rPr>
                <w:spacing w:val="-4"/>
                <w:sz w:val="21"/>
              </w:rPr>
              <w:t> </w:t>
            </w:r>
            <w:r>
              <w:rPr>
                <w:spacing w:val="-2"/>
                <w:sz w:val="21"/>
              </w:rPr>
              <w:t>Monitoring</w:t>
            </w:r>
          </w:p>
        </w:tc>
        <w:tc>
          <w:tcPr>
            <w:tcW w:w="7265" w:type="dxa"/>
          </w:tcPr>
          <w:p>
            <w:pPr>
              <w:pStyle w:val="TableParagraph"/>
              <w:spacing w:line="242" w:lineRule="exact"/>
              <w:ind w:left="108" w:right="172"/>
              <w:rPr>
                <w:sz w:val="21"/>
              </w:rPr>
            </w:pPr>
            <w:r>
              <w:rPr>
                <w:sz w:val="21"/>
              </w:rPr>
              <w:t>All</w:t>
            </w:r>
            <w:r>
              <w:rPr>
                <w:spacing w:val="-4"/>
                <w:sz w:val="21"/>
              </w:rPr>
              <w:t> </w:t>
            </w:r>
            <w:r>
              <w:rPr>
                <w:sz w:val="21"/>
              </w:rPr>
              <w:t>dewatering</w:t>
            </w:r>
            <w:r>
              <w:rPr>
                <w:spacing w:val="-3"/>
                <w:sz w:val="21"/>
              </w:rPr>
              <w:t> </w:t>
            </w:r>
            <w:r>
              <w:rPr>
                <w:sz w:val="21"/>
              </w:rPr>
              <w:t>discharges</w:t>
            </w:r>
            <w:r>
              <w:rPr>
                <w:spacing w:val="-4"/>
                <w:sz w:val="21"/>
              </w:rPr>
              <w:t> </w:t>
            </w:r>
            <w:r>
              <w:rPr>
                <w:sz w:val="21"/>
              </w:rPr>
              <w:t>shall</w:t>
            </w:r>
            <w:r>
              <w:rPr>
                <w:spacing w:val="-4"/>
                <w:sz w:val="21"/>
              </w:rPr>
              <w:t> </w:t>
            </w:r>
            <w:r>
              <w:rPr>
                <w:sz w:val="21"/>
              </w:rPr>
              <w:t>be</w:t>
            </w:r>
            <w:r>
              <w:rPr>
                <w:spacing w:val="-3"/>
                <w:sz w:val="21"/>
              </w:rPr>
              <w:t> </w:t>
            </w:r>
            <w:r>
              <w:rPr>
                <w:sz w:val="21"/>
              </w:rPr>
              <w:t>visually</w:t>
            </w:r>
            <w:r>
              <w:rPr>
                <w:spacing w:val="-3"/>
                <w:sz w:val="21"/>
              </w:rPr>
              <w:t> </w:t>
            </w:r>
            <w:r>
              <w:rPr>
                <w:sz w:val="21"/>
              </w:rPr>
              <w:t>monitored</w:t>
            </w:r>
            <w:r>
              <w:rPr>
                <w:spacing w:val="-3"/>
                <w:sz w:val="21"/>
              </w:rPr>
              <w:t> </w:t>
            </w:r>
            <w:r>
              <w:rPr>
                <w:sz w:val="21"/>
              </w:rPr>
              <w:t>for</w:t>
            </w:r>
            <w:r>
              <w:rPr>
                <w:spacing w:val="-6"/>
                <w:sz w:val="21"/>
              </w:rPr>
              <w:t> </w:t>
            </w:r>
            <w:r>
              <w:rPr>
                <w:sz w:val="21"/>
              </w:rPr>
              <w:t>changes</w:t>
            </w:r>
            <w:r>
              <w:rPr>
                <w:spacing w:val="-4"/>
                <w:sz w:val="21"/>
              </w:rPr>
              <w:t> </w:t>
            </w:r>
            <w:r>
              <w:rPr>
                <w:sz w:val="21"/>
              </w:rPr>
              <w:t>in</w:t>
            </w:r>
            <w:r>
              <w:rPr>
                <w:spacing w:val="-3"/>
                <w:sz w:val="21"/>
              </w:rPr>
              <w:t> </w:t>
            </w:r>
            <w:r>
              <w:rPr>
                <w:sz w:val="21"/>
              </w:rPr>
              <w:t>the characterization of effluent discharge.</w:t>
            </w:r>
          </w:p>
        </w:tc>
      </w:tr>
      <w:tr>
        <w:trPr>
          <w:trHeight w:val="964" w:hRule="atLeast"/>
        </w:trPr>
        <w:tc>
          <w:tcPr>
            <w:tcW w:w="1682" w:type="dxa"/>
            <w:vMerge/>
            <w:tcBorders>
              <w:top w:val="nil"/>
            </w:tcBorders>
          </w:tcPr>
          <w:p>
            <w:pPr>
              <w:rPr>
                <w:sz w:val="2"/>
                <w:szCs w:val="2"/>
              </w:rPr>
            </w:pPr>
          </w:p>
        </w:tc>
        <w:tc>
          <w:tcPr>
            <w:tcW w:w="1800" w:type="dxa"/>
          </w:tcPr>
          <w:p>
            <w:pPr>
              <w:pStyle w:val="TableParagraph"/>
              <w:spacing w:before="114"/>
              <w:rPr>
                <w:rFonts w:ascii="Cambria"/>
                <w:b/>
                <w:sz w:val="21"/>
              </w:rPr>
            </w:pPr>
          </w:p>
          <w:p>
            <w:pPr>
              <w:pStyle w:val="TableParagraph"/>
              <w:ind w:right="179"/>
              <w:jc w:val="right"/>
              <w:rPr>
                <w:sz w:val="21"/>
              </w:rPr>
            </w:pPr>
            <w:r>
              <w:rPr>
                <w:sz w:val="21"/>
              </w:rPr>
              <w:t>Corrective</w:t>
            </w:r>
            <w:r>
              <w:rPr>
                <w:spacing w:val="-13"/>
                <w:sz w:val="21"/>
              </w:rPr>
              <w:t> </w:t>
            </w:r>
            <w:r>
              <w:rPr>
                <w:spacing w:val="-2"/>
                <w:sz w:val="21"/>
              </w:rPr>
              <w:t>Action</w:t>
            </w:r>
          </w:p>
        </w:tc>
        <w:tc>
          <w:tcPr>
            <w:tcW w:w="7265" w:type="dxa"/>
          </w:tcPr>
          <w:p>
            <w:pPr>
              <w:pStyle w:val="TableParagraph"/>
              <w:ind w:left="108" w:right="172"/>
              <w:rPr>
                <w:sz w:val="21"/>
              </w:rPr>
            </w:pPr>
            <w:r>
              <w:rPr>
                <w:sz w:val="21"/>
              </w:rPr>
              <w:t>If (i) any turbidity measurement of the construction dewatering discharge exceeds 150</w:t>
            </w:r>
            <w:r>
              <w:rPr>
                <w:spacing w:val="-9"/>
                <w:sz w:val="21"/>
              </w:rPr>
              <w:t> </w:t>
            </w:r>
            <w:r>
              <w:rPr>
                <w:sz w:val="21"/>
              </w:rPr>
              <w:t>NTUs/FTUs</w:t>
            </w:r>
            <w:r>
              <w:rPr>
                <w:spacing w:val="-7"/>
                <w:sz w:val="21"/>
              </w:rPr>
              <w:t> </w:t>
            </w:r>
            <w:r>
              <w:rPr>
                <w:sz w:val="21"/>
              </w:rPr>
              <w:t>or</w:t>
            </w:r>
            <w:r>
              <w:rPr>
                <w:spacing w:val="-4"/>
                <w:sz w:val="21"/>
              </w:rPr>
              <w:t> </w:t>
            </w:r>
            <w:r>
              <w:rPr>
                <w:sz w:val="21"/>
              </w:rPr>
              <w:t>(ii)</w:t>
            </w:r>
            <w:r>
              <w:rPr>
                <w:spacing w:val="-5"/>
                <w:sz w:val="21"/>
              </w:rPr>
              <w:t> </w:t>
            </w:r>
            <w:r>
              <w:rPr>
                <w:sz w:val="21"/>
              </w:rPr>
              <w:t>visual</w:t>
            </w:r>
            <w:r>
              <w:rPr>
                <w:spacing w:val="-5"/>
                <w:sz w:val="21"/>
              </w:rPr>
              <w:t> </w:t>
            </w:r>
            <w:r>
              <w:rPr>
                <w:sz w:val="21"/>
              </w:rPr>
              <w:t>monitoring</w:t>
            </w:r>
            <w:r>
              <w:rPr>
                <w:spacing w:val="-4"/>
                <w:sz w:val="21"/>
              </w:rPr>
              <w:t> </w:t>
            </w:r>
            <w:r>
              <w:rPr>
                <w:sz w:val="21"/>
              </w:rPr>
              <w:t>indicates</w:t>
            </w:r>
            <w:r>
              <w:rPr>
                <w:spacing w:val="-4"/>
                <w:sz w:val="21"/>
              </w:rPr>
              <w:t> </w:t>
            </w:r>
            <w:r>
              <w:rPr>
                <w:sz w:val="21"/>
              </w:rPr>
              <w:t>a</w:t>
            </w:r>
            <w:r>
              <w:rPr>
                <w:spacing w:val="-4"/>
                <w:sz w:val="21"/>
              </w:rPr>
              <w:t> </w:t>
            </w:r>
            <w:r>
              <w:rPr>
                <w:sz w:val="21"/>
              </w:rPr>
              <w:t>change</w:t>
            </w:r>
            <w:r>
              <w:rPr>
                <w:spacing w:val="-4"/>
                <w:sz w:val="21"/>
              </w:rPr>
              <w:t> </w:t>
            </w:r>
            <w:r>
              <w:rPr>
                <w:sz w:val="21"/>
              </w:rPr>
              <w:t>in</w:t>
            </w:r>
            <w:r>
              <w:rPr>
                <w:spacing w:val="-4"/>
                <w:sz w:val="21"/>
              </w:rPr>
              <w:t> </w:t>
            </w:r>
            <w:r>
              <w:rPr>
                <w:sz w:val="21"/>
              </w:rPr>
              <w:t>the</w:t>
            </w:r>
            <w:r>
              <w:rPr>
                <w:spacing w:val="-3"/>
                <w:sz w:val="21"/>
              </w:rPr>
              <w:t> </w:t>
            </w:r>
            <w:r>
              <w:rPr>
                <w:spacing w:val="-2"/>
                <w:sz w:val="21"/>
              </w:rPr>
              <w:t>characterization</w:t>
            </w:r>
          </w:p>
          <w:p>
            <w:pPr>
              <w:pStyle w:val="TableParagraph"/>
              <w:spacing w:line="240" w:lineRule="exact"/>
              <w:ind w:left="108"/>
              <w:rPr>
                <w:sz w:val="21"/>
              </w:rPr>
            </w:pPr>
            <w:r>
              <w:rPr>
                <w:sz w:val="21"/>
              </w:rPr>
              <w:t>of</w:t>
            </w:r>
            <w:r>
              <w:rPr>
                <w:spacing w:val="-3"/>
                <w:sz w:val="21"/>
              </w:rPr>
              <w:t> </w:t>
            </w:r>
            <w:r>
              <w:rPr>
                <w:sz w:val="21"/>
              </w:rPr>
              <w:t>effluent</w:t>
            </w:r>
            <w:r>
              <w:rPr>
                <w:spacing w:val="-3"/>
                <w:sz w:val="21"/>
              </w:rPr>
              <w:t> </w:t>
            </w:r>
            <w:r>
              <w:rPr>
                <w:sz w:val="21"/>
              </w:rPr>
              <w:t>discharge,</w:t>
            </w:r>
            <w:r>
              <w:rPr>
                <w:spacing w:val="-2"/>
                <w:sz w:val="21"/>
              </w:rPr>
              <w:t> </w:t>
            </w:r>
            <w:r>
              <w:rPr>
                <w:sz w:val="21"/>
              </w:rPr>
              <w:t>corrective</w:t>
            </w:r>
            <w:r>
              <w:rPr>
                <w:spacing w:val="-2"/>
                <w:sz w:val="21"/>
              </w:rPr>
              <w:t> </w:t>
            </w:r>
            <w:r>
              <w:rPr>
                <w:sz w:val="21"/>
              </w:rPr>
              <w:t>action</w:t>
            </w:r>
            <w:r>
              <w:rPr>
                <w:spacing w:val="-2"/>
                <w:sz w:val="21"/>
              </w:rPr>
              <w:t> </w:t>
            </w:r>
            <w:r>
              <w:rPr>
                <w:sz w:val="21"/>
              </w:rPr>
              <w:t>shall</w:t>
            </w:r>
            <w:r>
              <w:rPr>
                <w:spacing w:val="-3"/>
                <w:sz w:val="21"/>
              </w:rPr>
              <w:t> </w:t>
            </w:r>
            <w:r>
              <w:rPr>
                <w:sz w:val="21"/>
              </w:rPr>
              <w:t>be</w:t>
            </w:r>
            <w:r>
              <w:rPr>
                <w:spacing w:val="-2"/>
                <w:sz w:val="21"/>
              </w:rPr>
              <w:t> </w:t>
            </w:r>
            <w:r>
              <w:rPr>
                <w:sz w:val="21"/>
              </w:rPr>
              <w:t>taken</w:t>
            </w:r>
            <w:r>
              <w:rPr>
                <w:spacing w:val="-5"/>
                <w:sz w:val="21"/>
              </w:rPr>
              <w:t> </w:t>
            </w:r>
            <w:r>
              <w:rPr>
                <w:sz w:val="21"/>
              </w:rPr>
              <w:t>in</w:t>
            </w:r>
            <w:r>
              <w:rPr>
                <w:spacing w:val="-2"/>
                <w:sz w:val="21"/>
              </w:rPr>
              <w:t> </w:t>
            </w:r>
            <w:r>
              <w:rPr>
                <w:sz w:val="21"/>
              </w:rPr>
              <w:t>accordance</w:t>
            </w:r>
            <w:r>
              <w:rPr>
                <w:spacing w:val="-5"/>
                <w:sz w:val="21"/>
              </w:rPr>
              <w:t> </w:t>
            </w:r>
            <w:r>
              <w:rPr>
                <w:sz w:val="21"/>
              </w:rPr>
              <w:t>with</w:t>
            </w:r>
            <w:r>
              <w:rPr>
                <w:spacing w:val="-2"/>
                <w:sz w:val="21"/>
              </w:rPr>
              <w:t> </w:t>
            </w:r>
            <w:r>
              <w:rPr>
                <w:sz w:val="21"/>
              </w:rPr>
              <w:t>Part</w:t>
            </w:r>
            <w:r>
              <w:rPr>
                <w:spacing w:val="-3"/>
                <w:sz w:val="21"/>
              </w:rPr>
              <w:t> </w:t>
            </w:r>
            <w:r>
              <w:rPr>
                <w:sz w:val="21"/>
              </w:rPr>
              <w:t>II</w:t>
            </w:r>
            <w:r>
              <w:rPr>
                <w:spacing w:val="-3"/>
                <w:sz w:val="21"/>
              </w:rPr>
              <w:t> </w:t>
            </w:r>
            <w:r>
              <w:rPr>
                <w:sz w:val="21"/>
              </w:rPr>
              <w:t>H</w:t>
            </w:r>
            <w:r>
              <w:rPr>
                <w:spacing w:val="-1"/>
                <w:sz w:val="21"/>
              </w:rPr>
              <w:t> </w:t>
            </w:r>
            <w:r>
              <w:rPr>
                <w:sz w:val="21"/>
              </w:rPr>
              <w:t>2 of the general permit.</w:t>
            </w:r>
          </w:p>
        </w:tc>
      </w:tr>
      <w:tr>
        <w:trPr>
          <w:trHeight w:val="724" w:hRule="atLeast"/>
        </w:trPr>
        <w:tc>
          <w:tcPr>
            <w:tcW w:w="1682" w:type="dxa"/>
            <w:vMerge/>
            <w:tcBorders>
              <w:top w:val="nil"/>
            </w:tcBorders>
          </w:tcPr>
          <w:p>
            <w:pPr>
              <w:rPr>
                <w:sz w:val="2"/>
                <w:szCs w:val="2"/>
              </w:rPr>
            </w:pPr>
          </w:p>
        </w:tc>
        <w:tc>
          <w:tcPr>
            <w:tcW w:w="1800" w:type="dxa"/>
          </w:tcPr>
          <w:p>
            <w:pPr>
              <w:pStyle w:val="TableParagraph"/>
              <w:spacing w:before="243"/>
              <w:ind w:right="249"/>
              <w:jc w:val="right"/>
              <w:rPr>
                <w:sz w:val="21"/>
              </w:rPr>
            </w:pPr>
            <w:r>
              <w:rPr>
                <w:sz w:val="21"/>
              </w:rPr>
              <w:t>Record</w:t>
            </w:r>
            <w:r>
              <w:rPr>
                <w:spacing w:val="-6"/>
                <w:sz w:val="21"/>
              </w:rPr>
              <w:t> </w:t>
            </w:r>
            <w:r>
              <w:rPr>
                <w:spacing w:val="-2"/>
                <w:sz w:val="21"/>
              </w:rPr>
              <w:t>Keeping</w:t>
            </w:r>
          </w:p>
        </w:tc>
        <w:tc>
          <w:tcPr>
            <w:tcW w:w="7265" w:type="dxa"/>
          </w:tcPr>
          <w:p>
            <w:pPr>
              <w:pStyle w:val="TableParagraph"/>
              <w:ind w:left="108"/>
              <w:rPr>
                <w:sz w:val="21"/>
              </w:rPr>
            </w:pPr>
            <w:r>
              <w:rPr>
                <w:sz w:val="21"/>
              </w:rPr>
              <w:t>Turbidity</w:t>
            </w:r>
            <w:r>
              <w:rPr>
                <w:spacing w:val="-8"/>
                <w:sz w:val="21"/>
              </w:rPr>
              <w:t> </w:t>
            </w:r>
            <w:r>
              <w:rPr>
                <w:sz w:val="21"/>
              </w:rPr>
              <w:t>monitoring</w:t>
            </w:r>
            <w:r>
              <w:rPr>
                <w:spacing w:val="-8"/>
                <w:sz w:val="21"/>
              </w:rPr>
              <w:t> </w:t>
            </w:r>
            <w:r>
              <w:rPr>
                <w:sz w:val="21"/>
              </w:rPr>
              <w:t>information</w:t>
            </w:r>
            <w:r>
              <w:rPr>
                <w:spacing w:val="-8"/>
                <w:sz w:val="21"/>
              </w:rPr>
              <w:t> </w:t>
            </w:r>
            <w:r>
              <w:rPr>
                <w:sz w:val="21"/>
              </w:rPr>
              <w:t>(i.e.,</w:t>
            </w:r>
            <w:r>
              <w:rPr>
                <w:spacing w:val="-8"/>
                <w:sz w:val="21"/>
              </w:rPr>
              <w:t> </w:t>
            </w:r>
            <w:r>
              <w:rPr>
                <w:sz w:val="21"/>
              </w:rPr>
              <w:t>location,</w:t>
            </w:r>
            <w:r>
              <w:rPr>
                <w:spacing w:val="-8"/>
                <w:sz w:val="21"/>
              </w:rPr>
              <w:t> </w:t>
            </w:r>
            <w:r>
              <w:rPr>
                <w:sz w:val="21"/>
              </w:rPr>
              <w:t>date,</w:t>
            </w:r>
            <w:r>
              <w:rPr>
                <w:spacing w:val="-8"/>
                <w:sz w:val="21"/>
              </w:rPr>
              <w:t> </w:t>
            </w:r>
            <w:r>
              <w:rPr>
                <w:sz w:val="21"/>
              </w:rPr>
              <w:t>sample</w:t>
            </w:r>
            <w:r>
              <w:rPr>
                <w:spacing w:val="-8"/>
                <w:sz w:val="21"/>
              </w:rPr>
              <w:t> </w:t>
            </w:r>
            <w:r>
              <w:rPr>
                <w:sz w:val="21"/>
              </w:rPr>
              <w:t>collection</w:t>
            </w:r>
            <w:r>
              <w:rPr>
                <w:spacing w:val="-8"/>
                <w:sz w:val="21"/>
              </w:rPr>
              <w:t> </w:t>
            </w:r>
            <w:r>
              <w:rPr>
                <w:sz w:val="21"/>
              </w:rPr>
              <w:t>time,</w:t>
            </w:r>
            <w:r>
              <w:rPr>
                <w:spacing w:val="-7"/>
                <w:sz w:val="21"/>
              </w:rPr>
              <w:t> </w:t>
            </w:r>
            <w:r>
              <w:rPr>
                <w:spacing w:val="-5"/>
                <w:sz w:val="21"/>
              </w:rPr>
              <w:t>and</w:t>
            </w:r>
          </w:p>
          <w:p>
            <w:pPr>
              <w:pStyle w:val="TableParagraph"/>
              <w:spacing w:line="240" w:lineRule="exact"/>
              <w:ind w:left="108" w:right="182"/>
              <w:rPr>
                <w:sz w:val="21"/>
              </w:rPr>
            </w:pPr>
            <w:r>
              <w:rPr>
                <w:sz w:val="21"/>
              </w:rPr>
              <w:t>turbidity</w:t>
            </w:r>
            <w:r>
              <w:rPr>
                <w:spacing w:val="-4"/>
                <w:sz w:val="21"/>
              </w:rPr>
              <w:t> </w:t>
            </w:r>
            <w:r>
              <w:rPr>
                <w:sz w:val="21"/>
              </w:rPr>
              <w:t>measurement)</w:t>
            </w:r>
            <w:r>
              <w:rPr>
                <w:spacing w:val="-5"/>
                <w:sz w:val="21"/>
              </w:rPr>
              <w:t> </w:t>
            </w:r>
            <w:r>
              <w:rPr>
                <w:sz w:val="21"/>
              </w:rPr>
              <w:t>and</w:t>
            </w:r>
            <w:r>
              <w:rPr>
                <w:spacing w:val="-7"/>
                <w:sz w:val="21"/>
              </w:rPr>
              <w:t> </w:t>
            </w:r>
            <w:r>
              <w:rPr>
                <w:sz w:val="21"/>
              </w:rPr>
              <w:t>any</w:t>
            </w:r>
            <w:r>
              <w:rPr>
                <w:spacing w:val="-4"/>
                <w:sz w:val="21"/>
              </w:rPr>
              <w:t> </w:t>
            </w:r>
            <w:r>
              <w:rPr>
                <w:sz w:val="21"/>
              </w:rPr>
              <w:t>necessary</w:t>
            </w:r>
            <w:r>
              <w:rPr>
                <w:spacing w:val="-4"/>
                <w:sz w:val="21"/>
              </w:rPr>
              <w:t> </w:t>
            </w:r>
            <w:r>
              <w:rPr>
                <w:sz w:val="21"/>
              </w:rPr>
              <w:t>corrective</w:t>
            </w:r>
            <w:r>
              <w:rPr>
                <w:spacing w:val="-4"/>
                <w:sz w:val="21"/>
              </w:rPr>
              <w:t> </w:t>
            </w:r>
            <w:r>
              <w:rPr>
                <w:sz w:val="21"/>
              </w:rPr>
              <w:t>actions</w:t>
            </w:r>
            <w:r>
              <w:rPr>
                <w:spacing w:val="-5"/>
                <w:sz w:val="21"/>
              </w:rPr>
              <w:t> </w:t>
            </w:r>
            <w:r>
              <w:rPr>
                <w:sz w:val="21"/>
              </w:rPr>
              <w:t>taken</w:t>
            </w:r>
            <w:r>
              <w:rPr>
                <w:spacing w:val="-4"/>
                <w:sz w:val="21"/>
              </w:rPr>
              <w:t> </w:t>
            </w:r>
            <w:r>
              <w:rPr>
                <w:sz w:val="21"/>
              </w:rPr>
              <w:t>shall</w:t>
            </w:r>
            <w:r>
              <w:rPr>
                <w:spacing w:val="-5"/>
                <w:sz w:val="21"/>
              </w:rPr>
              <w:t> </w:t>
            </w:r>
            <w:r>
              <w:rPr>
                <w:sz w:val="21"/>
              </w:rPr>
              <w:t>be recorded in the SWPPP.</w:t>
            </w:r>
          </w:p>
        </w:tc>
      </w:tr>
      <w:tr>
        <w:trPr>
          <w:trHeight w:val="1449" w:hRule="atLeast"/>
        </w:trPr>
        <w:tc>
          <w:tcPr>
            <w:tcW w:w="1682" w:type="dxa"/>
            <w:vMerge w:val="restart"/>
          </w:tcPr>
          <w:p>
            <w:pPr>
              <w:pStyle w:val="TableParagraph"/>
              <w:rPr>
                <w:rFonts w:ascii="Cambria"/>
                <w:b/>
                <w:sz w:val="22"/>
              </w:rPr>
            </w:pPr>
          </w:p>
          <w:p>
            <w:pPr>
              <w:pStyle w:val="TableParagraph"/>
              <w:rPr>
                <w:rFonts w:ascii="Cambria"/>
                <w:b/>
                <w:sz w:val="22"/>
              </w:rPr>
            </w:pPr>
          </w:p>
          <w:p>
            <w:pPr>
              <w:pStyle w:val="TableParagraph"/>
              <w:rPr>
                <w:rFonts w:ascii="Cambria"/>
                <w:b/>
                <w:sz w:val="22"/>
              </w:rPr>
            </w:pPr>
          </w:p>
          <w:p>
            <w:pPr>
              <w:pStyle w:val="TableParagraph"/>
              <w:rPr>
                <w:rFonts w:ascii="Cambria"/>
                <w:b/>
                <w:sz w:val="22"/>
              </w:rPr>
            </w:pPr>
          </w:p>
          <w:p>
            <w:pPr>
              <w:pStyle w:val="TableParagraph"/>
              <w:rPr>
                <w:rFonts w:ascii="Cambria"/>
                <w:b/>
                <w:sz w:val="22"/>
              </w:rPr>
            </w:pPr>
          </w:p>
          <w:p>
            <w:pPr>
              <w:pStyle w:val="TableParagraph"/>
              <w:rPr>
                <w:rFonts w:ascii="Cambria"/>
                <w:b/>
                <w:sz w:val="22"/>
              </w:rPr>
            </w:pPr>
          </w:p>
          <w:p>
            <w:pPr>
              <w:pStyle w:val="TableParagraph"/>
              <w:rPr>
                <w:rFonts w:ascii="Cambria"/>
                <w:b/>
                <w:sz w:val="22"/>
              </w:rPr>
            </w:pPr>
          </w:p>
          <w:p>
            <w:pPr>
              <w:pStyle w:val="TableParagraph"/>
              <w:rPr>
                <w:rFonts w:ascii="Cambria"/>
                <w:b/>
                <w:sz w:val="22"/>
              </w:rPr>
            </w:pPr>
          </w:p>
          <w:p>
            <w:pPr>
              <w:pStyle w:val="TableParagraph"/>
              <w:rPr>
                <w:rFonts w:ascii="Cambria"/>
                <w:b/>
                <w:sz w:val="22"/>
              </w:rPr>
            </w:pPr>
          </w:p>
          <w:p>
            <w:pPr>
              <w:pStyle w:val="TableParagraph"/>
              <w:spacing w:before="193"/>
              <w:rPr>
                <w:rFonts w:ascii="Cambria"/>
                <w:b/>
                <w:sz w:val="22"/>
              </w:rPr>
            </w:pPr>
          </w:p>
          <w:p>
            <w:pPr>
              <w:pStyle w:val="TableParagraph"/>
              <w:ind w:left="268" w:right="383" w:hanging="3"/>
              <w:jc w:val="center"/>
              <w:rPr>
                <w:sz w:val="22"/>
              </w:rPr>
            </w:pPr>
            <w:r>
              <w:rPr>
                <w:spacing w:val="-2"/>
                <w:sz w:val="22"/>
              </w:rPr>
              <w:t>Turbidity Benchmark </w:t>
            </w:r>
            <w:r>
              <w:rPr>
                <w:sz w:val="22"/>
              </w:rPr>
              <w:t>Option #3</w:t>
            </w:r>
          </w:p>
        </w:tc>
        <w:tc>
          <w:tcPr>
            <w:tcW w:w="1800" w:type="dxa"/>
          </w:tcPr>
          <w:p>
            <w:pPr>
              <w:pStyle w:val="TableParagraph"/>
              <w:rPr>
                <w:rFonts w:ascii="Cambria"/>
                <w:b/>
                <w:sz w:val="21"/>
              </w:rPr>
            </w:pPr>
          </w:p>
          <w:p>
            <w:pPr>
              <w:pStyle w:val="TableParagraph"/>
              <w:spacing w:before="112"/>
              <w:rPr>
                <w:rFonts w:ascii="Cambria"/>
                <w:b/>
                <w:sz w:val="21"/>
              </w:rPr>
            </w:pPr>
          </w:p>
          <w:p>
            <w:pPr>
              <w:pStyle w:val="TableParagraph"/>
              <w:spacing w:before="1"/>
              <w:ind w:right="151"/>
              <w:jc w:val="right"/>
              <w:rPr>
                <w:sz w:val="21"/>
              </w:rPr>
            </w:pPr>
            <w:r>
              <w:rPr>
                <w:sz w:val="21"/>
              </w:rPr>
              <w:t>Sample</w:t>
            </w:r>
            <w:r>
              <w:rPr>
                <w:spacing w:val="-5"/>
                <w:sz w:val="21"/>
              </w:rPr>
              <w:t> </w:t>
            </w:r>
            <w:r>
              <w:rPr>
                <w:spacing w:val="-2"/>
                <w:sz w:val="21"/>
              </w:rPr>
              <w:t>Frequency</w:t>
            </w:r>
          </w:p>
        </w:tc>
        <w:tc>
          <w:tcPr>
            <w:tcW w:w="7265" w:type="dxa"/>
          </w:tcPr>
          <w:p>
            <w:pPr>
              <w:pStyle w:val="TableParagraph"/>
              <w:ind w:left="108"/>
              <w:rPr>
                <w:sz w:val="21"/>
              </w:rPr>
            </w:pPr>
            <w:r>
              <w:rPr>
                <w:sz w:val="21"/>
              </w:rPr>
              <w:t>At least one grab sample shall be collected from each construction dewatering discharge when the first discharge at that location occurs, daily thereafter until the dewatering discharge stops, and after any installation of new controls or routine maintenance</w:t>
            </w:r>
            <w:r>
              <w:rPr>
                <w:spacing w:val="-3"/>
                <w:sz w:val="21"/>
              </w:rPr>
              <w:t> </w:t>
            </w:r>
            <w:r>
              <w:rPr>
                <w:sz w:val="21"/>
              </w:rPr>
              <w:t>activity</w:t>
            </w:r>
            <w:r>
              <w:rPr>
                <w:spacing w:val="-3"/>
                <w:sz w:val="21"/>
              </w:rPr>
              <w:t> </w:t>
            </w:r>
            <w:r>
              <w:rPr>
                <w:sz w:val="21"/>
              </w:rPr>
              <w:t>of</w:t>
            </w:r>
            <w:r>
              <w:rPr>
                <w:spacing w:val="-4"/>
                <w:sz w:val="21"/>
              </w:rPr>
              <w:t> </w:t>
            </w:r>
            <w:r>
              <w:rPr>
                <w:sz w:val="21"/>
              </w:rPr>
              <w:t>existing</w:t>
            </w:r>
            <w:r>
              <w:rPr>
                <w:spacing w:val="-3"/>
                <w:sz w:val="21"/>
              </w:rPr>
              <w:t> </w:t>
            </w:r>
            <w:r>
              <w:rPr>
                <w:sz w:val="21"/>
              </w:rPr>
              <w:t>controls.</w:t>
            </w:r>
            <w:r>
              <w:rPr>
                <w:spacing w:val="-3"/>
                <w:sz w:val="21"/>
              </w:rPr>
              <w:t> </w:t>
            </w:r>
            <w:r>
              <w:rPr>
                <w:sz w:val="21"/>
              </w:rPr>
              <w:t>Grab</w:t>
            </w:r>
            <w:r>
              <w:rPr>
                <w:spacing w:val="-3"/>
                <w:sz w:val="21"/>
              </w:rPr>
              <w:t> </w:t>
            </w:r>
            <w:r>
              <w:rPr>
                <w:sz w:val="21"/>
              </w:rPr>
              <w:t>samples</w:t>
            </w:r>
            <w:r>
              <w:rPr>
                <w:spacing w:val="-4"/>
                <w:sz w:val="21"/>
              </w:rPr>
              <w:t> </w:t>
            </w:r>
            <w:r>
              <w:rPr>
                <w:sz w:val="21"/>
              </w:rPr>
              <w:t>shall</w:t>
            </w:r>
            <w:r>
              <w:rPr>
                <w:spacing w:val="-4"/>
                <w:sz w:val="21"/>
              </w:rPr>
              <w:t> </w:t>
            </w:r>
            <w:r>
              <w:rPr>
                <w:sz w:val="21"/>
              </w:rPr>
              <w:t>be</w:t>
            </w:r>
            <w:r>
              <w:rPr>
                <w:spacing w:val="-3"/>
                <w:sz w:val="21"/>
              </w:rPr>
              <w:t> </w:t>
            </w:r>
            <w:r>
              <w:rPr>
                <w:sz w:val="21"/>
              </w:rPr>
              <w:t>tested</w:t>
            </w:r>
            <w:r>
              <w:rPr>
                <w:spacing w:val="-3"/>
                <w:sz w:val="21"/>
              </w:rPr>
              <w:t> </w:t>
            </w:r>
            <w:r>
              <w:rPr>
                <w:sz w:val="21"/>
              </w:rPr>
              <w:t>to</w:t>
            </w:r>
            <w:r>
              <w:rPr>
                <w:spacing w:val="-3"/>
                <w:sz w:val="21"/>
              </w:rPr>
              <w:t> </w:t>
            </w:r>
            <w:r>
              <w:rPr>
                <w:sz w:val="21"/>
              </w:rPr>
              <w:t>confirm</w:t>
            </w:r>
            <w:r>
              <w:rPr>
                <w:spacing w:val="-4"/>
                <w:sz w:val="21"/>
              </w:rPr>
              <w:t> </w:t>
            </w:r>
            <w:r>
              <w:rPr>
                <w:sz w:val="21"/>
              </w:rPr>
              <w:t>a turbidity measurement of equal to or less than 50 NTUs/FTUs, based on a weekly</w:t>
            </w:r>
          </w:p>
          <w:p>
            <w:pPr>
              <w:pStyle w:val="TableParagraph"/>
              <w:spacing w:line="221" w:lineRule="exact"/>
              <w:ind w:left="108"/>
              <w:rPr>
                <w:sz w:val="21"/>
              </w:rPr>
            </w:pPr>
            <w:r>
              <w:rPr>
                <w:sz w:val="21"/>
              </w:rPr>
              <w:t>average,</w:t>
            </w:r>
            <w:r>
              <w:rPr>
                <w:spacing w:val="-7"/>
                <w:sz w:val="21"/>
              </w:rPr>
              <w:t> </w:t>
            </w:r>
            <w:r>
              <w:rPr>
                <w:sz w:val="21"/>
              </w:rPr>
              <w:t>from</w:t>
            </w:r>
            <w:r>
              <w:rPr>
                <w:spacing w:val="-7"/>
                <w:sz w:val="21"/>
              </w:rPr>
              <w:t> </w:t>
            </w:r>
            <w:r>
              <w:rPr>
                <w:sz w:val="21"/>
              </w:rPr>
              <w:t>the</w:t>
            </w:r>
            <w:r>
              <w:rPr>
                <w:spacing w:val="-8"/>
                <w:sz w:val="21"/>
              </w:rPr>
              <w:t> </w:t>
            </w:r>
            <w:r>
              <w:rPr>
                <w:sz w:val="21"/>
              </w:rPr>
              <w:t>construction</w:t>
            </w:r>
            <w:r>
              <w:rPr>
                <w:spacing w:val="-6"/>
                <w:sz w:val="21"/>
              </w:rPr>
              <w:t> </w:t>
            </w:r>
            <w:r>
              <w:rPr>
                <w:sz w:val="21"/>
              </w:rPr>
              <w:t>dewatering</w:t>
            </w:r>
            <w:r>
              <w:rPr>
                <w:spacing w:val="-6"/>
                <w:sz w:val="21"/>
              </w:rPr>
              <w:t> </w:t>
            </w:r>
            <w:r>
              <w:rPr>
                <w:spacing w:val="-2"/>
                <w:sz w:val="21"/>
              </w:rPr>
              <w:t>discharge.</w:t>
            </w:r>
          </w:p>
        </w:tc>
      </w:tr>
      <w:tr>
        <w:trPr>
          <w:trHeight w:val="724" w:hRule="atLeast"/>
        </w:trPr>
        <w:tc>
          <w:tcPr>
            <w:tcW w:w="1682" w:type="dxa"/>
            <w:vMerge/>
            <w:tcBorders>
              <w:top w:val="nil"/>
            </w:tcBorders>
          </w:tcPr>
          <w:p>
            <w:pPr>
              <w:rPr>
                <w:sz w:val="2"/>
                <w:szCs w:val="2"/>
              </w:rPr>
            </w:pPr>
          </w:p>
        </w:tc>
        <w:tc>
          <w:tcPr>
            <w:tcW w:w="1800" w:type="dxa"/>
          </w:tcPr>
          <w:p>
            <w:pPr>
              <w:pStyle w:val="TableParagraph"/>
              <w:spacing w:before="240"/>
              <w:ind w:left="199"/>
              <w:rPr>
                <w:sz w:val="21"/>
              </w:rPr>
            </w:pPr>
            <w:r>
              <w:rPr>
                <w:sz w:val="21"/>
              </w:rPr>
              <w:t>Sample</w:t>
            </w:r>
            <w:r>
              <w:rPr>
                <w:spacing w:val="-5"/>
                <w:sz w:val="21"/>
              </w:rPr>
              <w:t> </w:t>
            </w:r>
            <w:r>
              <w:rPr>
                <w:spacing w:val="-2"/>
                <w:sz w:val="21"/>
              </w:rPr>
              <w:t>Timing</w:t>
            </w:r>
          </w:p>
        </w:tc>
        <w:tc>
          <w:tcPr>
            <w:tcW w:w="7265" w:type="dxa"/>
          </w:tcPr>
          <w:p>
            <w:pPr>
              <w:pStyle w:val="TableParagraph"/>
              <w:ind w:left="108"/>
              <w:rPr>
                <w:sz w:val="21"/>
              </w:rPr>
            </w:pPr>
            <w:r>
              <w:rPr>
                <w:sz w:val="21"/>
              </w:rPr>
              <w:t>Grab</w:t>
            </w:r>
            <w:r>
              <w:rPr>
                <w:spacing w:val="-3"/>
                <w:sz w:val="21"/>
              </w:rPr>
              <w:t> </w:t>
            </w:r>
            <w:r>
              <w:rPr>
                <w:sz w:val="21"/>
              </w:rPr>
              <w:t>samples</w:t>
            </w:r>
            <w:r>
              <w:rPr>
                <w:spacing w:val="-6"/>
                <w:sz w:val="21"/>
              </w:rPr>
              <w:t> </w:t>
            </w:r>
            <w:r>
              <w:rPr>
                <w:sz w:val="21"/>
              </w:rPr>
              <w:t>of</w:t>
            </w:r>
            <w:r>
              <w:rPr>
                <w:spacing w:val="-4"/>
                <w:sz w:val="21"/>
              </w:rPr>
              <w:t> </w:t>
            </w:r>
            <w:r>
              <w:rPr>
                <w:sz w:val="21"/>
              </w:rPr>
              <w:t>the</w:t>
            </w:r>
            <w:r>
              <w:rPr>
                <w:spacing w:val="-3"/>
                <w:sz w:val="21"/>
              </w:rPr>
              <w:t> </w:t>
            </w:r>
            <w:r>
              <w:rPr>
                <w:sz w:val="21"/>
              </w:rPr>
              <w:t>construction</w:t>
            </w:r>
            <w:r>
              <w:rPr>
                <w:spacing w:val="-3"/>
                <w:sz w:val="21"/>
              </w:rPr>
              <w:t> </w:t>
            </w:r>
            <w:r>
              <w:rPr>
                <w:sz w:val="21"/>
              </w:rPr>
              <w:t>dewatering</w:t>
            </w:r>
            <w:r>
              <w:rPr>
                <w:spacing w:val="-6"/>
                <w:sz w:val="21"/>
              </w:rPr>
              <w:t> </w:t>
            </w:r>
            <w:r>
              <w:rPr>
                <w:sz w:val="21"/>
              </w:rPr>
              <w:t>discharge</w:t>
            </w:r>
            <w:r>
              <w:rPr>
                <w:spacing w:val="-3"/>
                <w:sz w:val="21"/>
              </w:rPr>
              <w:t> </w:t>
            </w:r>
            <w:r>
              <w:rPr>
                <w:sz w:val="21"/>
              </w:rPr>
              <w:t>shall</w:t>
            </w:r>
            <w:r>
              <w:rPr>
                <w:spacing w:val="-4"/>
                <w:sz w:val="21"/>
              </w:rPr>
              <w:t> </w:t>
            </w:r>
            <w:r>
              <w:rPr>
                <w:sz w:val="21"/>
              </w:rPr>
              <w:t>be</w:t>
            </w:r>
            <w:r>
              <w:rPr>
                <w:spacing w:val="-3"/>
                <w:sz w:val="21"/>
              </w:rPr>
              <w:t> </w:t>
            </w:r>
            <w:r>
              <w:rPr>
                <w:sz w:val="21"/>
              </w:rPr>
              <w:t>collected</w:t>
            </w:r>
            <w:r>
              <w:rPr>
                <w:spacing w:val="-3"/>
                <w:sz w:val="21"/>
              </w:rPr>
              <w:t> </w:t>
            </w:r>
            <w:r>
              <w:rPr>
                <w:sz w:val="21"/>
              </w:rPr>
              <w:t>during</w:t>
            </w:r>
            <w:r>
              <w:rPr>
                <w:spacing w:val="-3"/>
                <w:sz w:val="21"/>
              </w:rPr>
              <w:t> </w:t>
            </w:r>
            <w:r>
              <w:rPr>
                <w:sz w:val="21"/>
              </w:rPr>
              <w:t>the first 15 minutes of the construction dewatering discharge and daily thereafter until</w:t>
            </w:r>
          </w:p>
          <w:p>
            <w:pPr>
              <w:pStyle w:val="TableParagraph"/>
              <w:spacing w:line="221" w:lineRule="exact"/>
              <w:ind w:left="108"/>
              <w:rPr>
                <w:sz w:val="21"/>
              </w:rPr>
            </w:pPr>
            <w:r>
              <w:rPr>
                <w:sz w:val="21"/>
              </w:rPr>
              <w:t>the</w:t>
            </w:r>
            <w:r>
              <w:rPr>
                <w:spacing w:val="-6"/>
                <w:sz w:val="21"/>
              </w:rPr>
              <w:t> </w:t>
            </w:r>
            <w:r>
              <w:rPr>
                <w:sz w:val="21"/>
              </w:rPr>
              <w:t>dewatering</w:t>
            </w:r>
            <w:r>
              <w:rPr>
                <w:spacing w:val="-6"/>
                <w:sz w:val="21"/>
              </w:rPr>
              <w:t> </w:t>
            </w:r>
            <w:r>
              <w:rPr>
                <w:sz w:val="21"/>
              </w:rPr>
              <w:t>discharge</w:t>
            </w:r>
            <w:r>
              <w:rPr>
                <w:spacing w:val="-6"/>
                <w:sz w:val="21"/>
              </w:rPr>
              <w:t> </w:t>
            </w:r>
            <w:r>
              <w:rPr>
                <w:spacing w:val="-2"/>
                <w:sz w:val="21"/>
              </w:rPr>
              <w:t>stops.</w:t>
            </w:r>
          </w:p>
        </w:tc>
      </w:tr>
      <w:tr>
        <w:trPr>
          <w:trHeight w:val="724" w:hRule="atLeast"/>
        </w:trPr>
        <w:tc>
          <w:tcPr>
            <w:tcW w:w="1682" w:type="dxa"/>
            <w:vMerge/>
            <w:tcBorders>
              <w:top w:val="nil"/>
            </w:tcBorders>
          </w:tcPr>
          <w:p>
            <w:pPr>
              <w:rPr>
                <w:sz w:val="2"/>
                <w:szCs w:val="2"/>
              </w:rPr>
            </w:pPr>
          </w:p>
        </w:tc>
        <w:tc>
          <w:tcPr>
            <w:tcW w:w="1800" w:type="dxa"/>
          </w:tcPr>
          <w:p>
            <w:pPr>
              <w:pStyle w:val="TableParagraph"/>
              <w:spacing w:before="240"/>
              <w:ind w:right="220"/>
              <w:jc w:val="right"/>
              <w:rPr>
                <w:sz w:val="21"/>
              </w:rPr>
            </w:pPr>
            <w:r>
              <w:rPr>
                <w:sz w:val="21"/>
              </w:rPr>
              <w:t>Sample</w:t>
            </w:r>
            <w:r>
              <w:rPr>
                <w:spacing w:val="-7"/>
                <w:sz w:val="21"/>
              </w:rPr>
              <w:t> </w:t>
            </w:r>
            <w:r>
              <w:rPr>
                <w:spacing w:val="-2"/>
                <w:sz w:val="21"/>
              </w:rPr>
              <w:t>Location</w:t>
            </w:r>
          </w:p>
        </w:tc>
        <w:tc>
          <w:tcPr>
            <w:tcW w:w="7265" w:type="dxa"/>
          </w:tcPr>
          <w:p>
            <w:pPr>
              <w:pStyle w:val="TableParagraph"/>
              <w:ind w:left="108" w:right="172"/>
              <w:rPr>
                <w:sz w:val="21"/>
              </w:rPr>
            </w:pPr>
            <w:r>
              <w:rPr>
                <w:sz w:val="21"/>
              </w:rPr>
              <w:t>Grab</w:t>
            </w:r>
            <w:r>
              <w:rPr>
                <w:spacing w:val="-3"/>
                <w:sz w:val="21"/>
              </w:rPr>
              <w:t> </w:t>
            </w:r>
            <w:r>
              <w:rPr>
                <w:sz w:val="21"/>
              </w:rPr>
              <w:t>samples</w:t>
            </w:r>
            <w:r>
              <w:rPr>
                <w:spacing w:val="-4"/>
                <w:sz w:val="21"/>
              </w:rPr>
              <w:t> </w:t>
            </w:r>
            <w:r>
              <w:rPr>
                <w:sz w:val="21"/>
              </w:rPr>
              <w:t>shall</w:t>
            </w:r>
            <w:r>
              <w:rPr>
                <w:spacing w:val="-4"/>
                <w:sz w:val="21"/>
              </w:rPr>
              <w:t> </w:t>
            </w:r>
            <w:r>
              <w:rPr>
                <w:sz w:val="21"/>
              </w:rPr>
              <w:t>be</w:t>
            </w:r>
            <w:r>
              <w:rPr>
                <w:spacing w:val="-3"/>
                <w:sz w:val="21"/>
              </w:rPr>
              <w:t> </w:t>
            </w:r>
            <w:r>
              <w:rPr>
                <w:sz w:val="21"/>
              </w:rPr>
              <w:t>collected</w:t>
            </w:r>
            <w:r>
              <w:rPr>
                <w:spacing w:val="-3"/>
                <w:sz w:val="21"/>
              </w:rPr>
              <w:t> </w:t>
            </w:r>
            <w:r>
              <w:rPr>
                <w:sz w:val="21"/>
              </w:rPr>
              <w:t>after</w:t>
            </w:r>
            <w:r>
              <w:rPr>
                <w:spacing w:val="-4"/>
                <w:sz w:val="21"/>
              </w:rPr>
              <w:t> </w:t>
            </w:r>
            <w:r>
              <w:rPr>
                <w:sz w:val="21"/>
              </w:rPr>
              <w:t>the</w:t>
            </w:r>
            <w:r>
              <w:rPr>
                <w:spacing w:val="-3"/>
                <w:sz w:val="21"/>
              </w:rPr>
              <w:t> </w:t>
            </w:r>
            <w:r>
              <w:rPr>
                <w:sz w:val="21"/>
              </w:rPr>
              <w:t>construction</w:t>
            </w:r>
            <w:r>
              <w:rPr>
                <w:spacing w:val="-3"/>
                <w:sz w:val="21"/>
              </w:rPr>
              <w:t> </w:t>
            </w:r>
            <w:r>
              <w:rPr>
                <w:sz w:val="21"/>
              </w:rPr>
              <w:t>dewatering</w:t>
            </w:r>
            <w:r>
              <w:rPr>
                <w:spacing w:val="-6"/>
                <w:sz w:val="21"/>
              </w:rPr>
              <w:t> </w:t>
            </w:r>
            <w:r>
              <w:rPr>
                <w:sz w:val="21"/>
              </w:rPr>
              <w:t>water</w:t>
            </w:r>
            <w:r>
              <w:rPr>
                <w:spacing w:val="-4"/>
                <w:sz w:val="21"/>
              </w:rPr>
              <w:t> </w:t>
            </w:r>
            <w:r>
              <w:rPr>
                <w:sz w:val="21"/>
              </w:rPr>
              <w:t>has</w:t>
            </w:r>
            <w:r>
              <w:rPr>
                <w:spacing w:val="-4"/>
                <w:sz w:val="21"/>
              </w:rPr>
              <w:t> </w:t>
            </w:r>
            <w:r>
              <w:rPr>
                <w:sz w:val="21"/>
              </w:rPr>
              <w:t>been filtered, settled, or similarly treated and prior to its discharge into a stormwater</w:t>
            </w:r>
          </w:p>
          <w:p>
            <w:pPr>
              <w:pStyle w:val="TableParagraph"/>
              <w:spacing w:line="221" w:lineRule="exact"/>
              <w:ind w:left="108"/>
              <w:rPr>
                <w:sz w:val="21"/>
              </w:rPr>
            </w:pPr>
            <w:r>
              <w:rPr>
                <w:sz w:val="21"/>
              </w:rPr>
              <w:t>conveyance</w:t>
            </w:r>
            <w:r>
              <w:rPr>
                <w:spacing w:val="-6"/>
                <w:sz w:val="21"/>
              </w:rPr>
              <w:t> </w:t>
            </w:r>
            <w:r>
              <w:rPr>
                <w:sz w:val="21"/>
              </w:rPr>
              <w:t>system</w:t>
            </w:r>
            <w:r>
              <w:rPr>
                <w:spacing w:val="-5"/>
                <w:sz w:val="21"/>
              </w:rPr>
              <w:t> </w:t>
            </w:r>
            <w:r>
              <w:rPr>
                <w:sz w:val="21"/>
              </w:rPr>
              <w:t>or</w:t>
            </w:r>
            <w:r>
              <w:rPr>
                <w:spacing w:val="-6"/>
                <w:sz w:val="21"/>
              </w:rPr>
              <w:t> </w:t>
            </w:r>
            <w:r>
              <w:rPr>
                <w:sz w:val="21"/>
              </w:rPr>
              <w:t>surface</w:t>
            </w:r>
            <w:r>
              <w:rPr>
                <w:spacing w:val="-5"/>
                <w:sz w:val="21"/>
              </w:rPr>
              <w:t> </w:t>
            </w:r>
            <w:r>
              <w:rPr>
                <w:spacing w:val="-2"/>
                <w:sz w:val="21"/>
              </w:rPr>
              <w:t>water.</w:t>
            </w:r>
          </w:p>
        </w:tc>
      </w:tr>
      <w:tr>
        <w:trPr>
          <w:trHeight w:val="966" w:hRule="atLeast"/>
        </w:trPr>
        <w:tc>
          <w:tcPr>
            <w:tcW w:w="1682" w:type="dxa"/>
            <w:vMerge/>
            <w:tcBorders>
              <w:top w:val="nil"/>
            </w:tcBorders>
          </w:tcPr>
          <w:p>
            <w:pPr>
              <w:rPr>
                <w:sz w:val="2"/>
                <w:szCs w:val="2"/>
              </w:rPr>
            </w:pPr>
          </w:p>
        </w:tc>
        <w:tc>
          <w:tcPr>
            <w:tcW w:w="1800" w:type="dxa"/>
          </w:tcPr>
          <w:p>
            <w:pPr>
              <w:pStyle w:val="TableParagraph"/>
              <w:spacing w:before="116"/>
              <w:rPr>
                <w:rFonts w:ascii="Cambria"/>
                <w:b/>
                <w:sz w:val="21"/>
              </w:rPr>
            </w:pPr>
          </w:p>
          <w:p>
            <w:pPr>
              <w:pStyle w:val="TableParagraph"/>
              <w:ind w:left="276"/>
              <w:rPr>
                <w:sz w:val="21"/>
              </w:rPr>
            </w:pPr>
            <w:r>
              <w:rPr>
                <w:sz w:val="21"/>
              </w:rPr>
              <w:t>Test</w:t>
            </w:r>
            <w:r>
              <w:rPr>
                <w:spacing w:val="-5"/>
                <w:sz w:val="21"/>
              </w:rPr>
              <w:t> </w:t>
            </w:r>
            <w:r>
              <w:rPr>
                <w:spacing w:val="-2"/>
                <w:sz w:val="21"/>
              </w:rPr>
              <w:t>Methods</w:t>
            </w:r>
          </w:p>
        </w:tc>
        <w:tc>
          <w:tcPr>
            <w:tcW w:w="7265" w:type="dxa"/>
          </w:tcPr>
          <w:p>
            <w:pPr>
              <w:pStyle w:val="TableParagraph"/>
              <w:ind w:left="108" w:right="172"/>
              <w:rPr>
                <w:sz w:val="21"/>
              </w:rPr>
            </w:pPr>
            <w:r>
              <w:rPr>
                <w:sz w:val="21"/>
              </w:rPr>
              <w:t>Grab samples taken as required by this subdivision 8 shall be measured using a turbidity meter that reports results in NTUs or FTUs, and a turbidity meter calibration</w:t>
            </w:r>
            <w:r>
              <w:rPr>
                <w:spacing w:val="-3"/>
                <w:sz w:val="21"/>
              </w:rPr>
              <w:t> </w:t>
            </w:r>
            <w:r>
              <w:rPr>
                <w:sz w:val="21"/>
              </w:rPr>
              <w:t>verification</w:t>
            </w:r>
            <w:r>
              <w:rPr>
                <w:spacing w:val="-3"/>
                <w:sz w:val="21"/>
              </w:rPr>
              <w:t> </w:t>
            </w:r>
            <w:r>
              <w:rPr>
                <w:sz w:val="21"/>
              </w:rPr>
              <w:t>shall</w:t>
            </w:r>
            <w:r>
              <w:rPr>
                <w:spacing w:val="-4"/>
                <w:sz w:val="21"/>
              </w:rPr>
              <w:t> </w:t>
            </w:r>
            <w:r>
              <w:rPr>
                <w:sz w:val="21"/>
              </w:rPr>
              <w:t>be</w:t>
            </w:r>
            <w:r>
              <w:rPr>
                <w:spacing w:val="-3"/>
                <w:sz w:val="21"/>
              </w:rPr>
              <w:t> </w:t>
            </w:r>
            <w:r>
              <w:rPr>
                <w:sz w:val="21"/>
              </w:rPr>
              <w:t>conducted</w:t>
            </w:r>
            <w:r>
              <w:rPr>
                <w:spacing w:val="-3"/>
                <w:sz w:val="21"/>
              </w:rPr>
              <w:t> </w:t>
            </w:r>
            <w:r>
              <w:rPr>
                <w:sz w:val="21"/>
              </w:rPr>
              <w:t>prior</w:t>
            </w:r>
            <w:r>
              <w:rPr>
                <w:spacing w:val="-4"/>
                <w:sz w:val="21"/>
              </w:rPr>
              <w:t> </w:t>
            </w:r>
            <w:r>
              <w:rPr>
                <w:sz w:val="21"/>
              </w:rPr>
              <w:t>to</w:t>
            </w:r>
            <w:r>
              <w:rPr>
                <w:spacing w:val="-3"/>
                <w:sz w:val="21"/>
              </w:rPr>
              <w:t> </w:t>
            </w:r>
            <w:r>
              <w:rPr>
                <w:sz w:val="21"/>
              </w:rPr>
              <w:t>each</w:t>
            </w:r>
            <w:r>
              <w:rPr>
                <w:spacing w:val="-3"/>
                <w:sz w:val="21"/>
              </w:rPr>
              <w:t> </w:t>
            </w:r>
            <w:r>
              <w:rPr>
                <w:sz w:val="21"/>
              </w:rPr>
              <w:t>day's</w:t>
            </w:r>
            <w:r>
              <w:rPr>
                <w:spacing w:val="-4"/>
                <w:sz w:val="21"/>
              </w:rPr>
              <w:t> </w:t>
            </w:r>
            <w:r>
              <w:rPr>
                <w:sz w:val="21"/>
              </w:rPr>
              <w:t>use,</w:t>
            </w:r>
            <w:r>
              <w:rPr>
                <w:spacing w:val="-3"/>
                <w:sz w:val="21"/>
              </w:rPr>
              <w:t> </w:t>
            </w:r>
            <w:r>
              <w:rPr>
                <w:sz w:val="21"/>
              </w:rPr>
              <w:t>consistent</w:t>
            </w:r>
            <w:r>
              <w:rPr>
                <w:spacing w:val="-4"/>
                <w:sz w:val="21"/>
              </w:rPr>
              <w:t> </w:t>
            </w:r>
            <w:r>
              <w:rPr>
                <w:sz w:val="21"/>
              </w:rPr>
              <w:t>with</w:t>
            </w:r>
          </w:p>
          <w:p>
            <w:pPr>
              <w:pStyle w:val="TableParagraph"/>
              <w:spacing w:line="221" w:lineRule="exact" w:before="1"/>
              <w:ind w:left="108"/>
              <w:rPr>
                <w:sz w:val="21"/>
              </w:rPr>
            </w:pPr>
            <w:r>
              <w:rPr>
                <w:sz w:val="21"/>
              </w:rPr>
              <w:t>manufacturer</w:t>
            </w:r>
            <w:r>
              <w:rPr>
                <w:spacing w:val="-11"/>
                <w:sz w:val="21"/>
              </w:rPr>
              <w:t> </w:t>
            </w:r>
            <w:r>
              <w:rPr>
                <w:spacing w:val="-2"/>
                <w:sz w:val="21"/>
              </w:rPr>
              <w:t>recommendations.</w:t>
            </w:r>
          </w:p>
        </w:tc>
      </w:tr>
      <w:tr>
        <w:trPr>
          <w:trHeight w:val="481" w:hRule="atLeast"/>
        </w:trPr>
        <w:tc>
          <w:tcPr>
            <w:tcW w:w="1682" w:type="dxa"/>
            <w:vMerge/>
            <w:tcBorders>
              <w:top w:val="nil"/>
            </w:tcBorders>
          </w:tcPr>
          <w:p>
            <w:pPr>
              <w:rPr>
                <w:sz w:val="2"/>
                <w:szCs w:val="2"/>
              </w:rPr>
            </w:pPr>
          </w:p>
        </w:tc>
        <w:tc>
          <w:tcPr>
            <w:tcW w:w="1800" w:type="dxa"/>
          </w:tcPr>
          <w:p>
            <w:pPr>
              <w:pStyle w:val="TableParagraph"/>
              <w:spacing w:before="120"/>
              <w:ind w:right="155"/>
              <w:jc w:val="right"/>
              <w:rPr>
                <w:sz w:val="21"/>
              </w:rPr>
            </w:pPr>
            <w:r>
              <w:rPr>
                <w:sz w:val="21"/>
              </w:rPr>
              <w:t>Visual</w:t>
            </w:r>
            <w:r>
              <w:rPr>
                <w:spacing w:val="-4"/>
                <w:sz w:val="21"/>
              </w:rPr>
              <w:t> </w:t>
            </w:r>
            <w:r>
              <w:rPr>
                <w:spacing w:val="-2"/>
                <w:sz w:val="21"/>
              </w:rPr>
              <w:t>Monitoring</w:t>
            </w:r>
          </w:p>
        </w:tc>
        <w:tc>
          <w:tcPr>
            <w:tcW w:w="7265" w:type="dxa"/>
          </w:tcPr>
          <w:p>
            <w:pPr>
              <w:pStyle w:val="TableParagraph"/>
              <w:spacing w:line="240" w:lineRule="exact"/>
              <w:ind w:left="108" w:right="172"/>
              <w:rPr>
                <w:sz w:val="21"/>
              </w:rPr>
            </w:pPr>
            <w:r>
              <w:rPr>
                <w:sz w:val="21"/>
              </w:rPr>
              <w:t>All</w:t>
            </w:r>
            <w:r>
              <w:rPr>
                <w:spacing w:val="-4"/>
                <w:sz w:val="21"/>
              </w:rPr>
              <w:t> </w:t>
            </w:r>
            <w:r>
              <w:rPr>
                <w:sz w:val="21"/>
              </w:rPr>
              <w:t>dewatering</w:t>
            </w:r>
            <w:r>
              <w:rPr>
                <w:spacing w:val="-3"/>
                <w:sz w:val="21"/>
              </w:rPr>
              <w:t> </w:t>
            </w:r>
            <w:r>
              <w:rPr>
                <w:sz w:val="21"/>
              </w:rPr>
              <w:t>discharges</w:t>
            </w:r>
            <w:r>
              <w:rPr>
                <w:spacing w:val="-4"/>
                <w:sz w:val="21"/>
              </w:rPr>
              <w:t> </w:t>
            </w:r>
            <w:r>
              <w:rPr>
                <w:sz w:val="21"/>
              </w:rPr>
              <w:t>shall</w:t>
            </w:r>
            <w:r>
              <w:rPr>
                <w:spacing w:val="-4"/>
                <w:sz w:val="21"/>
              </w:rPr>
              <w:t> </w:t>
            </w:r>
            <w:r>
              <w:rPr>
                <w:sz w:val="21"/>
              </w:rPr>
              <w:t>be</w:t>
            </w:r>
            <w:r>
              <w:rPr>
                <w:spacing w:val="-3"/>
                <w:sz w:val="21"/>
              </w:rPr>
              <w:t> </w:t>
            </w:r>
            <w:r>
              <w:rPr>
                <w:sz w:val="21"/>
              </w:rPr>
              <w:t>visually</w:t>
            </w:r>
            <w:r>
              <w:rPr>
                <w:spacing w:val="-3"/>
                <w:sz w:val="21"/>
              </w:rPr>
              <w:t> </w:t>
            </w:r>
            <w:r>
              <w:rPr>
                <w:sz w:val="21"/>
              </w:rPr>
              <w:t>monitored</w:t>
            </w:r>
            <w:r>
              <w:rPr>
                <w:spacing w:val="-3"/>
                <w:sz w:val="21"/>
              </w:rPr>
              <w:t> </w:t>
            </w:r>
            <w:r>
              <w:rPr>
                <w:sz w:val="21"/>
              </w:rPr>
              <w:t>for</w:t>
            </w:r>
            <w:r>
              <w:rPr>
                <w:spacing w:val="-6"/>
                <w:sz w:val="21"/>
              </w:rPr>
              <w:t> </w:t>
            </w:r>
            <w:r>
              <w:rPr>
                <w:sz w:val="21"/>
              </w:rPr>
              <w:t>changes</w:t>
            </w:r>
            <w:r>
              <w:rPr>
                <w:spacing w:val="-4"/>
                <w:sz w:val="21"/>
              </w:rPr>
              <w:t> </w:t>
            </w:r>
            <w:r>
              <w:rPr>
                <w:sz w:val="21"/>
              </w:rPr>
              <w:t>in</w:t>
            </w:r>
            <w:r>
              <w:rPr>
                <w:spacing w:val="-3"/>
                <w:sz w:val="21"/>
              </w:rPr>
              <w:t> </w:t>
            </w:r>
            <w:r>
              <w:rPr>
                <w:sz w:val="21"/>
              </w:rPr>
              <w:t>the characterization of effluent discharge.</w:t>
            </w:r>
          </w:p>
        </w:tc>
      </w:tr>
      <w:tr>
        <w:trPr>
          <w:trHeight w:val="1449" w:hRule="atLeast"/>
        </w:trPr>
        <w:tc>
          <w:tcPr>
            <w:tcW w:w="1682" w:type="dxa"/>
            <w:vMerge/>
            <w:tcBorders>
              <w:top w:val="nil"/>
            </w:tcBorders>
          </w:tcPr>
          <w:p>
            <w:pPr>
              <w:rPr>
                <w:sz w:val="2"/>
                <w:szCs w:val="2"/>
              </w:rPr>
            </w:pPr>
          </w:p>
        </w:tc>
        <w:tc>
          <w:tcPr>
            <w:tcW w:w="1800" w:type="dxa"/>
          </w:tcPr>
          <w:p>
            <w:pPr>
              <w:pStyle w:val="TableParagraph"/>
              <w:rPr>
                <w:rFonts w:ascii="Cambria"/>
                <w:b/>
                <w:sz w:val="21"/>
              </w:rPr>
            </w:pPr>
          </w:p>
          <w:p>
            <w:pPr>
              <w:pStyle w:val="TableParagraph"/>
              <w:spacing w:before="110"/>
              <w:rPr>
                <w:rFonts w:ascii="Cambria"/>
                <w:b/>
                <w:sz w:val="21"/>
              </w:rPr>
            </w:pPr>
          </w:p>
          <w:p>
            <w:pPr>
              <w:pStyle w:val="TableParagraph"/>
              <w:ind w:right="179"/>
              <w:jc w:val="right"/>
              <w:rPr>
                <w:sz w:val="21"/>
              </w:rPr>
            </w:pPr>
            <w:r>
              <w:rPr>
                <w:sz w:val="21"/>
              </w:rPr>
              <w:t>Corrective</w:t>
            </w:r>
            <w:r>
              <w:rPr>
                <w:spacing w:val="-13"/>
                <w:sz w:val="21"/>
              </w:rPr>
              <w:t> </w:t>
            </w:r>
            <w:r>
              <w:rPr>
                <w:spacing w:val="-2"/>
                <w:sz w:val="21"/>
              </w:rPr>
              <w:t>Action</w:t>
            </w:r>
          </w:p>
        </w:tc>
        <w:tc>
          <w:tcPr>
            <w:tcW w:w="7265" w:type="dxa"/>
          </w:tcPr>
          <w:p>
            <w:pPr>
              <w:pStyle w:val="TableParagraph"/>
              <w:ind w:left="108" w:right="34"/>
              <w:rPr>
                <w:sz w:val="21"/>
              </w:rPr>
            </w:pPr>
            <w:r>
              <w:rPr>
                <w:sz w:val="21"/>
              </w:rPr>
              <w:t>If (i) the weekly average of the turbidity measurements of the construction dewatering discharge exceeds 50 NTUs/FTUs or (ii) visual monitoring indicates a change</w:t>
            </w:r>
            <w:r>
              <w:rPr>
                <w:spacing w:val="-3"/>
                <w:sz w:val="21"/>
              </w:rPr>
              <w:t> </w:t>
            </w:r>
            <w:r>
              <w:rPr>
                <w:sz w:val="21"/>
              </w:rPr>
              <w:t>in</w:t>
            </w:r>
            <w:r>
              <w:rPr>
                <w:spacing w:val="-3"/>
                <w:sz w:val="21"/>
              </w:rPr>
              <w:t> </w:t>
            </w:r>
            <w:r>
              <w:rPr>
                <w:sz w:val="21"/>
              </w:rPr>
              <w:t>the</w:t>
            </w:r>
            <w:r>
              <w:rPr>
                <w:spacing w:val="-6"/>
                <w:sz w:val="21"/>
              </w:rPr>
              <w:t> </w:t>
            </w:r>
            <w:r>
              <w:rPr>
                <w:sz w:val="21"/>
              </w:rPr>
              <w:t>characterization</w:t>
            </w:r>
            <w:r>
              <w:rPr>
                <w:spacing w:val="-3"/>
                <w:sz w:val="21"/>
              </w:rPr>
              <w:t> </w:t>
            </w:r>
            <w:r>
              <w:rPr>
                <w:sz w:val="21"/>
              </w:rPr>
              <w:t>of</w:t>
            </w:r>
            <w:r>
              <w:rPr>
                <w:spacing w:val="-4"/>
                <w:sz w:val="21"/>
              </w:rPr>
              <w:t> </w:t>
            </w:r>
            <w:r>
              <w:rPr>
                <w:sz w:val="21"/>
              </w:rPr>
              <w:t>effluent</w:t>
            </w:r>
            <w:r>
              <w:rPr>
                <w:spacing w:val="-4"/>
                <w:sz w:val="21"/>
              </w:rPr>
              <w:t> </w:t>
            </w:r>
            <w:r>
              <w:rPr>
                <w:sz w:val="21"/>
              </w:rPr>
              <w:t>discharge,</w:t>
            </w:r>
            <w:r>
              <w:rPr>
                <w:spacing w:val="-6"/>
                <w:sz w:val="21"/>
              </w:rPr>
              <w:t> </w:t>
            </w:r>
            <w:r>
              <w:rPr>
                <w:sz w:val="21"/>
              </w:rPr>
              <w:t>corrective</w:t>
            </w:r>
            <w:r>
              <w:rPr>
                <w:spacing w:val="-3"/>
                <w:sz w:val="21"/>
              </w:rPr>
              <w:t> </w:t>
            </w:r>
            <w:r>
              <w:rPr>
                <w:sz w:val="21"/>
              </w:rPr>
              <w:t>action</w:t>
            </w:r>
            <w:r>
              <w:rPr>
                <w:spacing w:val="-3"/>
                <w:sz w:val="21"/>
              </w:rPr>
              <w:t> </w:t>
            </w:r>
            <w:r>
              <w:rPr>
                <w:sz w:val="21"/>
              </w:rPr>
              <w:t>shall</w:t>
            </w:r>
            <w:r>
              <w:rPr>
                <w:spacing w:val="-4"/>
                <w:sz w:val="21"/>
              </w:rPr>
              <w:t> </w:t>
            </w:r>
            <w:r>
              <w:rPr>
                <w:sz w:val="21"/>
              </w:rPr>
              <w:t>be</w:t>
            </w:r>
            <w:r>
              <w:rPr>
                <w:spacing w:val="-3"/>
                <w:sz w:val="21"/>
              </w:rPr>
              <w:t> </w:t>
            </w:r>
            <w:r>
              <w:rPr>
                <w:sz w:val="21"/>
              </w:rPr>
              <w:t>taken in accordance with Part II H 2. The weekly average is the sum of all turbidity samples taken during a monitoring week (starting on Monday and ending on</w:t>
            </w:r>
          </w:p>
          <w:p>
            <w:pPr>
              <w:pStyle w:val="TableParagraph"/>
              <w:spacing w:line="221" w:lineRule="exact"/>
              <w:ind w:left="108"/>
              <w:rPr>
                <w:sz w:val="21"/>
              </w:rPr>
            </w:pPr>
            <w:r>
              <w:rPr>
                <w:sz w:val="21"/>
              </w:rPr>
              <w:t>Sunday)</w:t>
            </w:r>
            <w:r>
              <w:rPr>
                <w:spacing w:val="-9"/>
                <w:sz w:val="21"/>
              </w:rPr>
              <w:t> </w:t>
            </w:r>
            <w:r>
              <w:rPr>
                <w:sz w:val="21"/>
              </w:rPr>
              <w:t>divided</w:t>
            </w:r>
            <w:r>
              <w:rPr>
                <w:spacing w:val="-4"/>
                <w:sz w:val="21"/>
              </w:rPr>
              <w:t> </w:t>
            </w:r>
            <w:r>
              <w:rPr>
                <w:sz w:val="21"/>
              </w:rPr>
              <w:t>by</w:t>
            </w:r>
            <w:r>
              <w:rPr>
                <w:spacing w:val="-3"/>
                <w:sz w:val="21"/>
              </w:rPr>
              <w:t> </w:t>
            </w:r>
            <w:r>
              <w:rPr>
                <w:sz w:val="21"/>
              </w:rPr>
              <w:t>the</w:t>
            </w:r>
            <w:r>
              <w:rPr>
                <w:spacing w:val="-4"/>
                <w:sz w:val="21"/>
              </w:rPr>
              <w:t> </w:t>
            </w:r>
            <w:r>
              <w:rPr>
                <w:sz w:val="21"/>
              </w:rPr>
              <w:t>number</w:t>
            </w:r>
            <w:r>
              <w:rPr>
                <w:spacing w:val="-5"/>
                <w:sz w:val="21"/>
              </w:rPr>
              <w:t> </w:t>
            </w:r>
            <w:r>
              <w:rPr>
                <w:sz w:val="21"/>
              </w:rPr>
              <w:t>of</w:t>
            </w:r>
            <w:r>
              <w:rPr>
                <w:spacing w:val="-4"/>
                <w:sz w:val="21"/>
              </w:rPr>
              <w:t> </w:t>
            </w:r>
            <w:r>
              <w:rPr>
                <w:sz w:val="21"/>
              </w:rPr>
              <w:t>samples</w:t>
            </w:r>
            <w:r>
              <w:rPr>
                <w:spacing w:val="-5"/>
                <w:sz w:val="21"/>
              </w:rPr>
              <w:t> </w:t>
            </w:r>
            <w:r>
              <w:rPr>
                <w:sz w:val="21"/>
              </w:rPr>
              <w:t>measures</w:t>
            </w:r>
            <w:r>
              <w:rPr>
                <w:spacing w:val="-6"/>
                <w:sz w:val="21"/>
              </w:rPr>
              <w:t> </w:t>
            </w:r>
            <w:r>
              <w:rPr>
                <w:sz w:val="21"/>
              </w:rPr>
              <w:t>during</w:t>
            </w:r>
            <w:r>
              <w:rPr>
                <w:spacing w:val="-4"/>
                <w:sz w:val="21"/>
              </w:rPr>
              <w:t> </w:t>
            </w:r>
            <w:r>
              <w:rPr>
                <w:sz w:val="21"/>
              </w:rPr>
              <w:t>that</w:t>
            </w:r>
            <w:r>
              <w:rPr>
                <w:spacing w:val="-4"/>
                <w:sz w:val="21"/>
              </w:rPr>
              <w:t> </w:t>
            </w:r>
            <w:r>
              <w:rPr>
                <w:spacing w:val="-2"/>
                <w:sz w:val="21"/>
              </w:rPr>
              <w:t>week.</w:t>
            </w:r>
          </w:p>
        </w:tc>
      </w:tr>
      <w:tr>
        <w:trPr>
          <w:trHeight w:val="724" w:hRule="atLeast"/>
        </w:trPr>
        <w:tc>
          <w:tcPr>
            <w:tcW w:w="1682" w:type="dxa"/>
            <w:vMerge/>
            <w:tcBorders>
              <w:top w:val="nil"/>
            </w:tcBorders>
          </w:tcPr>
          <w:p>
            <w:pPr>
              <w:rPr>
                <w:sz w:val="2"/>
                <w:szCs w:val="2"/>
              </w:rPr>
            </w:pPr>
          </w:p>
        </w:tc>
        <w:tc>
          <w:tcPr>
            <w:tcW w:w="1800" w:type="dxa"/>
          </w:tcPr>
          <w:p>
            <w:pPr>
              <w:pStyle w:val="TableParagraph"/>
              <w:spacing w:before="240"/>
              <w:ind w:right="249"/>
              <w:jc w:val="right"/>
              <w:rPr>
                <w:sz w:val="21"/>
              </w:rPr>
            </w:pPr>
            <w:r>
              <w:rPr>
                <w:sz w:val="21"/>
              </w:rPr>
              <w:t>Record</w:t>
            </w:r>
            <w:r>
              <w:rPr>
                <w:spacing w:val="-6"/>
                <w:sz w:val="21"/>
              </w:rPr>
              <w:t> </w:t>
            </w:r>
            <w:r>
              <w:rPr>
                <w:spacing w:val="-2"/>
                <w:sz w:val="21"/>
              </w:rPr>
              <w:t>Keeping</w:t>
            </w:r>
          </w:p>
        </w:tc>
        <w:tc>
          <w:tcPr>
            <w:tcW w:w="7265" w:type="dxa"/>
          </w:tcPr>
          <w:p>
            <w:pPr>
              <w:pStyle w:val="TableParagraph"/>
              <w:ind w:left="108" w:right="172"/>
              <w:rPr>
                <w:sz w:val="21"/>
              </w:rPr>
            </w:pPr>
            <w:r>
              <w:rPr>
                <w:sz w:val="21"/>
              </w:rPr>
              <w:t>Turbidity</w:t>
            </w:r>
            <w:r>
              <w:rPr>
                <w:spacing w:val="-4"/>
                <w:sz w:val="21"/>
              </w:rPr>
              <w:t> </w:t>
            </w:r>
            <w:r>
              <w:rPr>
                <w:sz w:val="21"/>
              </w:rPr>
              <w:t>monitoring</w:t>
            </w:r>
            <w:r>
              <w:rPr>
                <w:spacing w:val="-4"/>
                <w:sz w:val="21"/>
              </w:rPr>
              <w:t> </w:t>
            </w:r>
            <w:r>
              <w:rPr>
                <w:sz w:val="21"/>
              </w:rPr>
              <w:t>information</w:t>
            </w:r>
            <w:r>
              <w:rPr>
                <w:spacing w:val="-4"/>
                <w:sz w:val="21"/>
              </w:rPr>
              <w:t> </w:t>
            </w:r>
            <w:r>
              <w:rPr>
                <w:sz w:val="21"/>
              </w:rPr>
              <w:t>(i.e.,</w:t>
            </w:r>
            <w:r>
              <w:rPr>
                <w:spacing w:val="-4"/>
                <w:sz w:val="21"/>
              </w:rPr>
              <w:t> </w:t>
            </w:r>
            <w:r>
              <w:rPr>
                <w:sz w:val="21"/>
              </w:rPr>
              <w:t>location,</w:t>
            </w:r>
            <w:r>
              <w:rPr>
                <w:spacing w:val="-4"/>
                <w:sz w:val="21"/>
              </w:rPr>
              <w:t> </w:t>
            </w:r>
            <w:r>
              <w:rPr>
                <w:sz w:val="21"/>
              </w:rPr>
              <w:t>date,</w:t>
            </w:r>
            <w:r>
              <w:rPr>
                <w:spacing w:val="-4"/>
                <w:sz w:val="21"/>
              </w:rPr>
              <w:t> </w:t>
            </w:r>
            <w:r>
              <w:rPr>
                <w:sz w:val="21"/>
              </w:rPr>
              <w:t>sample</w:t>
            </w:r>
            <w:r>
              <w:rPr>
                <w:spacing w:val="-4"/>
                <w:sz w:val="21"/>
              </w:rPr>
              <w:t> </w:t>
            </w:r>
            <w:r>
              <w:rPr>
                <w:sz w:val="21"/>
              </w:rPr>
              <w:t>collection</w:t>
            </w:r>
            <w:r>
              <w:rPr>
                <w:spacing w:val="-4"/>
                <w:sz w:val="21"/>
              </w:rPr>
              <w:t> </w:t>
            </w:r>
            <w:r>
              <w:rPr>
                <w:sz w:val="21"/>
              </w:rPr>
              <w:t>time,</w:t>
            </w:r>
            <w:r>
              <w:rPr>
                <w:spacing w:val="-4"/>
                <w:sz w:val="21"/>
              </w:rPr>
              <w:t> </w:t>
            </w:r>
            <w:r>
              <w:rPr>
                <w:sz w:val="21"/>
              </w:rPr>
              <w:t>and turbidity measurement) and any necessary corrective actions taken shall be</w:t>
            </w:r>
          </w:p>
          <w:p>
            <w:pPr>
              <w:pStyle w:val="TableParagraph"/>
              <w:spacing w:line="221" w:lineRule="exact"/>
              <w:ind w:left="108"/>
              <w:rPr>
                <w:sz w:val="21"/>
              </w:rPr>
            </w:pPr>
            <w:r>
              <w:rPr>
                <w:sz w:val="21"/>
              </w:rPr>
              <w:t>recorded</w:t>
            </w:r>
            <w:r>
              <w:rPr>
                <w:spacing w:val="-4"/>
                <w:sz w:val="21"/>
              </w:rPr>
              <w:t> </w:t>
            </w:r>
            <w:r>
              <w:rPr>
                <w:sz w:val="21"/>
              </w:rPr>
              <w:t>in</w:t>
            </w:r>
            <w:r>
              <w:rPr>
                <w:spacing w:val="-3"/>
                <w:sz w:val="21"/>
              </w:rPr>
              <w:t> </w:t>
            </w:r>
            <w:r>
              <w:rPr>
                <w:sz w:val="21"/>
              </w:rPr>
              <w:t>the</w:t>
            </w:r>
            <w:r>
              <w:rPr>
                <w:spacing w:val="-5"/>
                <w:sz w:val="21"/>
              </w:rPr>
              <w:t> </w:t>
            </w:r>
            <w:r>
              <w:rPr>
                <w:spacing w:val="-2"/>
                <w:sz w:val="21"/>
              </w:rPr>
              <w:t>SWPPP.</w:t>
            </w:r>
          </w:p>
        </w:tc>
      </w:tr>
    </w:tbl>
    <w:p>
      <w:pPr>
        <w:pStyle w:val="TableParagraph"/>
        <w:spacing w:after="0" w:line="221" w:lineRule="exact"/>
        <w:rPr>
          <w:sz w:val="21"/>
        </w:rPr>
        <w:sectPr>
          <w:type w:val="continuous"/>
          <w:pgSz w:w="12240" w:h="15840"/>
          <w:pgMar w:top="1420" w:bottom="280" w:left="720" w:right="720"/>
        </w:sectPr>
      </w:pPr>
    </w:p>
    <w:tbl>
      <w:tblPr>
        <w:tblW w:w="0" w:type="auto"/>
        <w:jc w:val="left"/>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82"/>
        <w:gridCol w:w="7264"/>
      </w:tblGrid>
      <w:tr>
        <w:trPr>
          <w:trHeight w:val="3035" w:hRule="atLeast"/>
        </w:trPr>
        <w:tc>
          <w:tcPr>
            <w:tcW w:w="3482" w:type="dxa"/>
            <w:vMerge w:val="restart"/>
          </w:tcPr>
          <w:p>
            <w:pPr>
              <w:pStyle w:val="TableParagraph"/>
              <w:rPr>
                <w:rFonts w:ascii="Cambria"/>
                <w:b/>
                <w:sz w:val="22"/>
              </w:rPr>
            </w:pPr>
          </w:p>
          <w:p>
            <w:pPr>
              <w:pStyle w:val="TableParagraph"/>
              <w:rPr>
                <w:rFonts w:ascii="Cambria"/>
                <w:b/>
                <w:sz w:val="22"/>
              </w:rPr>
            </w:pPr>
          </w:p>
          <w:p>
            <w:pPr>
              <w:pStyle w:val="TableParagraph"/>
              <w:rPr>
                <w:rFonts w:ascii="Cambria"/>
                <w:b/>
                <w:sz w:val="22"/>
              </w:rPr>
            </w:pPr>
          </w:p>
          <w:p>
            <w:pPr>
              <w:pStyle w:val="TableParagraph"/>
              <w:rPr>
                <w:rFonts w:ascii="Cambria"/>
                <w:b/>
                <w:sz w:val="22"/>
              </w:rPr>
            </w:pPr>
          </w:p>
          <w:p>
            <w:pPr>
              <w:pStyle w:val="TableParagraph"/>
              <w:rPr>
                <w:rFonts w:ascii="Cambria"/>
                <w:b/>
                <w:sz w:val="22"/>
              </w:rPr>
            </w:pPr>
          </w:p>
          <w:p>
            <w:pPr>
              <w:pStyle w:val="TableParagraph"/>
              <w:rPr>
                <w:rFonts w:ascii="Cambria"/>
                <w:b/>
                <w:sz w:val="22"/>
              </w:rPr>
            </w:pPr>
          </w:p>
          <w:p>
            <w:pPr>
              <w:pStyle w:val="TableParagraph"/>
              <w:spacing w:before="96"/>
              <w:rPr>
                <w:rFonts w:ascii="Cambria"/>
                <w:b/>
                <w:sz w:val="22"/>
              </w:rPr>
            </w:pPr>
          </w:p>
          <w:p>
            <w:pPr>
              <w:pStyle w:val="TableParagraph"/>
              <w:ind w:left="1245" w:hanging="1124"/>
              <w:rPr>
                <w:sz w:val="22"/>
              </w:rPr>
            </w:pPr>
            <w:r>
              <w:rPr>
                <w:sz w:val="22"/>
              </w:rPr>
              <w:t>Request</w:t>
            </w:r>
            <w:r>
              <w:rPr>
                <w:spacing w:val="-11"/>
                <w:sz w:val="22"/>
              </w:rPr>
              <w:t> </w:t>
            </w:r>
            <w:r>
              <w:rPr>
                <w:sz w:val="22"/>
              </w:rPr>
              <w:t>for</w:t>
            </w:r>
            <w:r>
              <w:rPr>
                <w:spacing w:val="-11"/>
                <w:sz w:val="22"/>
              </w:rPr>
              <w:t> </w:t>
            </w:r>
            <w:r>
              <w:rPr>
                <w:sz w:val="22"/>
              </w:rPr>
              <w:t>Alternative</w:t>
            </w:r>
            <w:r>
              <w:rPr>
                <w:spacing w:val="-12"/>
                <w:sz w:val="22"/>
              </w:rPr>
              <w:t> </w:t>
            </w:r>
            <w:r>
              <w:rPr>
                <w:sz w:val="22"/>
              </w:rPr>
              <w:t>Benchmark </w:t>
            </w:r>
            <w:r>
              <w:rPr>
                <w:spacing w:val="-2"/>
                <w:sz w:val="22"/>
              </w:rPr>
              <w:t>Threshold</w:t>
            </w:r>
          </w:p>
        </w:tc>
        <w:tc>
          <w:tcPr>
            <w:tcW w:w="7264" w:type="dxa"/>
          </w:tcPr>
          <w:p>
            <w:pPr>
              <w:pStyle w:val="TableParagraph"/>
              <w:numPr>
                <w:ilvl w:val="0"/>
                <w:numId w:val="3"/>
              </w:numPr>
              <w:tabs>
                <w:tab w:pos="421" w:val="left" w:leader="none"/>
              </w:tabs>
              <w:spacing w:line="240" w:lineRule="auto" w:before="0" w:after="0"/>
              <w:ind w:left="108" w:right="212" w:firstLine="0"/>
              <w:jc w:val="left"/>
              <w:rPr>
                <w:sz w:val="22"/>
              </w:rPr>
            </w:pPr>
            <w:r>
              <w:rPr>
                <w:sz w:val="22"/>
              </w:rPr>
              <w:t>At</w:t>
            </w:r>
            <w:r>
              <w:rPr>
                <w:spacing w:val="-1"/>
                <w:sz w:val="22"/>
              </w:rPr>
              <w:t> </w:t>
            </w:r>
            <w:r>
              <w:rPr>
                <w:sz w:val="22"/>
              </w:rPr>
              <w:t>any</w:t>
            </w:r>
            <w:r>
              <w:rPr>
                <w:spacing w:val="-5"/>
                <w:sz w:val="22"/>
              </w:rPr>
              <w:t> </w:t>
            </w:r>
            <w:r>
              <w:rPr>
                <w:sz w:val="22"/>
              </w:rPr>
              <w:t>time</w:t>
            </w:r>
            <w:r>
              <w:rPr>
                <w:spacing w:val="-4"/>
                <w:sz w:val="22"/>
              </w:rPr>
              <w:t> </w:t>
            </w:r>
            <w:r>
              <w:rPr>
                <w:sz w:val="22"/>
              </w:rPr>
              <w:t>prior</w:t>
            </w:r>
            <w:r>
              <w:rPr>
                <w:spacing w:val="-4"/>
                <w:sz w:val="22"/>
              </w:rPr>
              <w:t> </w:t>
            </w:r>
            <w:r>
              <w:rPr>
                <w:sz w:val="22"/>
              </w:rPr>
              <w:t>to</w:t>
            </w:r>
            <w:r>
              <w:rPr>
                <w:spacing w:val="-2"/>
                <w:sz w:val="22"/>
              </w:rPr>
              <w:t> </w:t>
            </w:r>
            <w:r>
              <w:rPr>
                <w:sz w:val="22"/>
              </w:rPr>
              <w:t>or</w:t>
            </w:r>
            <w:r>
              <w:rPr>
                <w:spacing w:val="-4"/>
                <w:sz w:val="22"/>
              </w:rPr>
              <w:t> </w:t>
            </w:r>
            <w:r>
              <w:rPr>
                <w:sz w:val="22"/>
              </w:rPr>
              <w:t>during</w:t>
            </w:r>
            <w:r>
              <w:rPr>
                <w:spacing w:val="-2"/>
                <w:sz w:val="22"/>
              </w:rPr>
              <w:t> </w:t>
            </w:r>
            <w:r>
              <w:rPr>
                <w:sz w:val="22"/>
              </w:rPr>
              <w:t>coverage</w:t>
            </w:r>
            <w:r>
              <w:rPr>
                <w:spacing w:val="-2"/>
                <w:sz w:val="22"/>
              </w:rPr>
              <w:t> </w:t>
            </w:r>
            <w:r>
              <w:rPr>
                <w:sz w:val="22"/>
              </w:rPr>
              <w:t>under</w:t>
            </w:r>
            <w:r>
              <w:rPr>
                <w:spacing w:val="-4"/>
                <w:sz w:val="22"/>
              </w:rPr>
              <w:t> </w:t>
            </w:r>
            <w:r>
              <w:rPr>
                <w:sz w:val="22"/>
              </w:rPr>
              <w:t>this</w:t>
            </w:r>
            <w:r>
              <w:rPr>
                <w:spacing w:val="-4"/>
                <w:sz w:val="22"/>
              </w:rPr>
              <w:t> </w:t>
            </w:r>
            <w:r>
              <w:rPr>
                <w:sz w:val="22"/>
              </w:rPr>
              <w:t>permit,</w:t>
            </w:r>
            <w:r>
              <w:rPr>
                <w:spacing w:val="-2"/>
                <w:sz w:val="22"/>
              </w:rPr>
              <w:t> </w:t>
            </w:r>
            <w:r>
              <w:rPr>
                <w:sz w:val="22"/>
              </w:rPr>
              <w:t>a</w:t>
            </w:r>
            <w:r>
              <w:rPr>
                <w:spacing w:val="-4"/>
                <w:sz w:val="22"/>
              </w:rPr>
              <w:t> </w:t>
            </w:r>
            <w:r>
              <w:rPr>
                <w:sz w:val="22"/>
              </w:rPr>
              <w:t>request</w:t>
            </w:r>
            <w:r>
              <w:rPr>
                <w:spacing w:val="-1"/>
                <w:sz w:val="22"/>
              </w:rPr>
              <w:t> </w:t>
            </w:r>
            <w:r>
              <w:rPr>
                <w:sz w:val="22"/>
              </w:rPr>
              <w:t>may</w:t>
            </w:r>
            <w:r>
              <w:rPr>
                <w:spacing w:val="-2"/>
                <w:sz w:val="22"/>
              </w:rPr>
              <w:t> </w:t>
            </w:r>
            <w:r>
              <w:rPr>
                <w:sz w:val="22"/>
              </w:rPr>
              <w:t>be submitted to the department to approve a benchmark that is higher than turbidity benchmark options 1, 2, and 3 if information is available demonstrating the higher number is the same as the receiving water's water quality standard for turbidity. To request approval of an alternate benchmark, the operator must submit the following to the department:</w:t>
            </w:r>
          </w:p>
          <w:p>
            <w:pPr>
              <w:pStyle w:val="TableParagraph"/>
              <w:numPr>
                <w:ilvl w:val="1"/>
                <w:numId w:val="3"/>
              </w:numPr>
              <w:tabs>
                <w:tab w:pos="826" w:val="left" w:leader="none"/>
                <w:tab w:pos="828" w:val="left" w:leader="none"/>
              </w:tabs>
              <w:spacing w:line="240" w:lineRule="auto" w:before="0" w:after="0"/>
              <w:ind w:left="828" w:right="966" w:hanging="361"/>
              <w:jc w:val="left"/>
              <w:rPr>
                <w:sz w:val="22"/>
              </w:rPr>
            </w:pPr>
            <w:r>
              <w:rPr>
                <w:sz w:val="22"/>
              </w:rPr>
              <w:t>The</w:t>
            </w:r>
            <w:r>
              <w:rPr>
                <w:spacing w:val="-3"/>
                <w:sz w:val="22"/>
              </w:rPr>
              <w:t> </w:t>
            </w:r>
            <w:r>
              <w:rPr>
                <w:sz w:val="22"/>
              </w:rPr>
              <w:t>current</w:t>
            </w:r>
            <w:r>
              <w:rPr>
                <w:spacing w:val="-5"/>
                <w:sz w:val="22"/>
              </w:rPr>
              <w:t> </w:t>
            </w:r>
            <w:r>
              <w:rPr>
                <w:sz w:val="22"/>
              </w:rPr>
              <w:t>turbidity</w:t>
            </w:r>
            <w:r>
              <w:rPr>
                <w:spacing w:val="-3"/>
                <w:sz w:val="22"/>
              </w:rPr>
              <w:t> </w:t>
            </w:r>
            <w:r>
              <w:rPr>
                <w:sz w:val="22"/>
              </w:rPr>
              <w:t>water</w:t>
            </w:r>
            <w:r>
              <w:rPr>
                <w:spacing w:val="-5"/>
                <w:sz w:val="22"/>
              </w:rPr>
              <w:t> </w:t>
            </w:r>
            <w:r>
              <w:rPr>
                <w:sz w:val="22"/>
              </w:rPr>
              <w:t>quality</w:t>
            </w:r>
            <w:r>
              <w:rPr>
                <w:spacing w:val="-6"/>
                <w:sz w:val="22"/>
              </w:rPr>
              <w:t> </w:t>
            </w:r>
            <w:r>
              <w:rPr>
                <w:sz w:val="22"/>
              </w:rPr>
              <w:t>standard</w:t>
            </w:r>
            <w:r>
              <w:rPr>
                <w:spacing w:val="-6"/>
                <w:sz w:val="22"/>
              </w:rPr>
              <w:t> </w:t>
            </w:r>
            <w:r>
              <w:rPr>
                <w:sz w:val="22"/>
              </w:rPr>
              <w:t>that</w:t>
            </w:r>
            <w:r>
              <w:rPr>
                <w:spacing w:val="-2"/>
                <w:sz w:val="22"/>
              </w:rPr>
              <w:t> </w:t>
            </w:r>
            <w:r>
              <w:rPr>
                <w:sz w:val="22"/>
              </w:rPr>
              <w:t>applies</w:t>
            </w:r>
            <w:r>
              <w:rPr>
                <w:spacing w:val="-3"/>
                <w:sz w:val="22"/>
              </w:rPr>
              <w:t> </w:t>
            </w:r>
            <w:r>
              <w:rPr>
                <w:sz w:val="22"/>
              </w:rPr>
              <w:t>to</w:t>
            </w:r>
            <w:r>
              <w:rPr>
                <w:spacing w:val="-6"/>
                <w:sz w:val="22"/>
              </w:rPr>
              <w:t> </w:t>
            </w:r>
            <w:r>
              <w:rPr>
                <w:sz w:val="22"/>
              </w:rPr>
              <w:t>the receiving water; and</w:t>
            </w:r>
          </w:p>
          <w:p>
            <w:pPr>
              <w:pStyle w:val="TableParagraph"/>
              <w:numPr>
                <w:ilvl w:val="1"/>
                <w:numId w:val="3"/>
              </w:numPr>
              <w:tabs>
                <w:tab w:pos="826" w:val="left" w:leader="none"/>
                <w:tab w:pos="828" w:val="left" w:leader="none"/>
              </w:tabs>
              <w:spacing w:line="240" w:lineRule="auto" w:before="0" w:after="0"/>
              <w:ind w:left="828" w:right="152" w:hanging="360"/>
              <w:jc w:val="left"/>
              <w:rPr>
                <w:sz w:val="22"/>
              </w:rPr>
            </w:pPr>
            <w:r>
              <w:rPr>
                <w:sz w:val="22"/>
              </w:rPr>
              <w:t>Information on the natural or background turbidity level to determine the specific standard for the receiving water, including available data that</w:t>
            </w:r>
            <w:r>
              <w:rPr>
                <w:spacing w:val="-1"/>
                <w:sz w:val="22"/>
              </w:rPr>
              <w:t> </w:t>
            </w:r>
            <w:r>
              <w:rPr>
                <w:sz w:val="22"/>
              </w:rPr>
              <w:t>can</w:t>
            </w:r>
            <w:r>
              <w:rPr>
                <w:spacing w:val="-5"/>
                <w:sz w:val="22"/>
              </w:rPr>
              <w:t> </w:t>
            </w:r>
            <w:r>
              <w:rPr>
                <w:sz w:val="22"/>
              </w:rPr>
              <w:t>be</w:t>
            </w:r>
            <w:r>
              <w:rPr>
                <w:spacing w:val="-2"/>
                <w:sz w:val="22"/>
              </w:rPr>
              <w:t> </w:t>
            </w:r>
            <w:r>
              <w:rPr>
                <w:sz w:val="22"/>
              </w:rPr>
              <w:t>used</w:t>
            </w:r>
            <w:r>
              <w:rPr>
                <w:spacing w:val="-5"/>
                <w:sz w:val="22"/>
              </w:rPr>
              <w:t> </w:t>
            </w:r>
            <w:r>
              <w:rPr>
                <w:sz w:val="22"/>
              </w:rPr>
              <w:t>to</w:t>
            </w:r>
            <w:r>
              <w:rPr>
                <w:spacing w:val="-2"/>
                <w:sz w:val="22"/>
              </w:rPr>
              <w:t> </w:t>
            </w:r>
            <w:r>
              <w:rPr>
                <w:sz w:val="22"/>
              </w:rPr>
              <w:t>establish</w:t>
            </w:r>
            <w:r>
              <w:rPr>
                <w:spacing w:val="-2"/>
                <w:sz w:val="22"/>
              </w:rPr>
              <w:t> </w:t>
            </w:r>
            <w:r>
              <w:rPr>
                <w:sz w:val="22"/>
              </w:rPr>
              <w:t>the</w:t>
            </w:r>
            <w:r>
              <w:rPr>
                <w:spacing w:val="-2"/>
                <w:sz w:val="22"/>
              </w:rPr>
              <w:t> </w:t>
            </w:r>
            <w:r>
              <w:rPr>
                <w:sz w:val="22"/>
              </w:rPr>
              <w:t>natural</w:t>
            </w:r>
            <w:r>
              <w:rPr>
                <w:spacing w:val="-1"/>
                <w:sz w:val="22"/>
              </w:rPr>
              <w:t> </w:t>
            </w:r>
            <w:r>
              <w:rPr>
                <w:sz w:val="22"/>
              </w:rPr>
              <w:t>turbidity</w:t>
            </w:r>
            <w:r>
              <w:rPr>
                <w:spacing w:val="-5"/>
                <w:sz w:val="22"/>
              </w:rPr>
              <w:t> </w:t>
            </w:r>
            <w:r>
              <w:rPr>
                <w:sz w:val="22"/>
              </w:rPr>
              <w:t>levels</w:t>
            </w:r>
            <w:r>
              <w:rPr>
                <w:spacing w:val="-2"/>
                <w:sz w:val="22"/>
              </w:rPr>
              <w:t> </w:t>
            </w:r>
            <w:r>
              <w:rPr>
                <w:sz w:val="22"/>
              </w:rPr>
              <w:t>of</w:t>
            </w:r>
            <w:r>
              <w:rPr>
                <w:spacing w:val="-4"/>
                <w:sz w:val="22"/>
              </w:rPr>
              <w:t> </w:t>
            </w:r>
            <w:r>
              <w:rPr>
                <w:sz w:val="22"/>
              </w:rPr>
              <w:t>the</w:t>
            </w:r>
            <w:r>
              <w:rPr>
                <w:spacing w:val="-4"/>
                <w:sz w:val="22"/>
              </w:rPr>
              <w:t> </w:t>
            </w:r>
            <w:r>
              <w:rPr>
                <w:sz w:val="22"/>
              </w:rPr>
              <w:t>receiving</w:t>
            </w:r>
          </w:p>
          <w:p>
            <w:pPr>
              <w:pStyle w:val="TableParagraph"/>
              <w:spacing w:line="233" w:lineRule="exact"/>
              <w:ind w:left="828"/>
              <w:rPr>
                <w:sz w:val="22"/>
              </w:rPr>
            </w:pPr>
            <w:r>
              <w:rPr>
                <w:spacing w:val="-2"/>
                <w:sz w:val="22"/>
              </w:rPr>
              <w:t>water.</w:t>
            </w:r>
          </w:p>
        </w:tc>
      </w:tr>
      <w:tr>
        <w:trPr>
          <w:trHeight w:val="1264" w:hRule="atLeast"/>
        </w:trPr>
        <w:tc>
          <w:tcPr>
            <w:tcW w:w="3482" w:type="dxa"/>
            <w:vMerge/>
            <w:tcBorders>
              <w:top w:val="nil"/>
            </w:tcBorders>
          </w:tcPr>
          <w:p>
            <w:pPr>
              <w:rPr>
                <w:sz w:val="2"/>
                <w:szCs w:val="2"/>
              </w:rPr>
            </w:pPr>
          </w:p>
        </w:tc>
        <w:tc>
          <w:tcPr>
            <w:tcW w:w="7264" w:type="dxa"/>
          </w:tcPr>
          <w:p>
            <w:pPr>
              <w:pStyle w:val="TableParagraph"/>
              <w:ind w:left="108" w:right="165"/>
              <w:rPr>
                <w:sz w:val="22"/>
              </w:rPr>
            </w:pPr>
            <w:r>
              <w:rPr>
                <w:sz w:val="22"/>
              </w:rPr>
              <w:t>(2) The department will notify the operator of its decision on whether to approve the requested alternate benchmark within 30 days. Until the department</w:t>
            </w:r>
            <w:r>
              <w:rPr>
                <w:spacing w:val="-2"/>
                <w:sz w:val="22"/>
              </w:rPr>
              <w:t> </w:t>
            </w:r>
            <w:r>
              <w:rPr>
                <w:sz w:val="22"/>
              </w:rPr>
              <w:t>approves</w:t>
            </w:r>
            <w:r>
              <w:rPr>
                <w:spacing w:val="-3"/>
                <w:sz w:val="22"/>
              </w:rPr>
              <w:t> </w:t>
            </w:r>
            <w:r>
              <w:rPr>
                <w:sz w:val="22"/>
              </w:rPr>
              <w:t>an</w:t>
            </w:r>
            <w:r>
              <w:rPr>
                <w:spacing w:val="-6"/>
                <w:sz w:val="22"/>
              </w:rPr>
              <w:t> </w:t>
            </w:r>
            <w:r>
              <w:rPr>
                <w:sz w:val="22"/>
              </w:rPr>
              <w:t>alternate</w:t>
            </w:r>
            <w:r>
              <w:rPr>
                <w:spacing w:val="-3"/>
                <w:sz w:val="22"/>
              </w:rPr>
              <w:t> </w:t>
            </w:r>
            <w:r>
              <w:rPr>
                <w:sz w:val="22"/>
              </w:rPr>
              <w:t>benchmark,</w:t>
            </w:r>
            <w:r>
              <w:rPr>
                <w:spacing w:val="-6"/>
                <w:sz w:val="22"/>
              </w:rPr>
              <w:t> </w:t>
            </w:r>
            <w:r>
              <w:rPr>
                <w:sz w:val="22"/>
              </w:rPr>
              <w:t>the</w:t>
            </w:r>
            <w:r>
              <w:rPr>
                <w:spacing w:val="-3"/>
                <w:sz w:val="22"/>
              </w:rPr>
              <w:t> </w:t>
            </w:r>
            <w:r>
              <w:rPr>
                <w:sz w:val="22"/>
              </w:rPr>
              <w:t>operator</w:t>
            </w:r>
            <w:r>
              <w:rPr>
                <w:spacing w:val="-5"/>
                <w:sz w:val="22"/>
              </w:rPr>
              <w:t> </w:t>
            </w:r>
            <w:r>
              <w:rPr>
                <w:sz w:val="22"/>
              </w:rPr>
              <w:t>is</w:t>
            </w:r>
            <w:r>
              <w:rPr>
                <w:spacing w:val="-5"/>
                <w:sz w:val="22"/>
              </w:rPr>
              <w:t> </w:t>
            </w:r>
            <w:r>
              <w:rPr>
                <w:sz w:val="22"/>
              </w:rPr>
              <w:t>required</w:t>
            </w:r>
            <w:r>
              <w:rPr>
                <w:spacing w:val="-6"/>
                <w:sz w:val="22"/>
              </w:rPr>
              <w:t> </w:t>
            </w:r>
            <w:r>
              <w:rPr>
                <w:sz w:val="22"/>
              </w:rPr>
              <w:t>to</w:t>
            </w:r>
            <w:r>
              <w:rPr>
                <w:spacing w:val="-3"/>
                <w:sz w:val="22"/>
              </w:rPr>
              <w:t> </w:t>
            </w:r>
            <w:r>
              <w:rPr>
                <w:sz w:val="22"/>
              </w:rPr>
              <w:t>use option 1, option 2, or option 3 turbidity benchmark and take any required</w:t>
            </w:r>
          </w:p>
          <w:p>
            <w:pPr>
              <w:pStyle w:val="TableParagraph"/>
              <w:spacing w:line="233" w:lineRule="exact"/>
              <w:ind w:left="108"/>
              <w:rPr>
                <w:sz w:val="22"/>
              </w:rPr>
            </w:pPr>
            <w:r>
              <w:rPr>
                <w:sz w:val="22"/>
              </w:rPr>
              <w:t>corrective</w:t>
            </w:r>
            <w:r>
              <w:rPr>
                <w:spacing w:val="-4"/>
                <w:sz w:val="22"/>
              </w:rPr>
              <w:t> </w:t>
            </w:r>
            <w:r>
              <w:rPr>
                <w:sz w:val="22"/>
              </w:rPr>
              <w:t>actions</w:t>
            </w:r>
            <w:r>
              <w:rPr>
                <w:spacing w:val="-4"/>
                <w:sz w:val="22"/>
              </w:rPr>
              <w:t> </w:t>
            </w:r>
            <w:r>
              <w:rPr>
                <w:sz w:val="22"/>
              </w:rPr>
              <w:t>if</w:t>
            </w:r>
            <w:r>
              <w:rPr>
                <w:spacing w:val="-2"/>
                <w:sz w:val="22"/>
              </w:rPr>
              <w:t> </w:t>
            </w:r>
            <w:r>
              <w:rPr>
                <w:sz w:val="22"/>
              </w:rPr>
              <w:t>an</w:t>
            </w:r>
            <w:r>
              <w:rPr>
                <w:spacing w:val="-3"/>
                <w:sz w:val="22"/>
              </w:rPr>
              <w:t> </w:t>
            </w:r>
            <w:r>
              <w:rPr>
                <w:sz w:val="22"/>
              </w:rPr>
              <w:t>exceedance</w:t>
            </w:r>
            <w:r>
              <w:rPr>
                <w:spacing w:val="-3"/>
                <w:sz w:val="22"/>
              </w:rPr>
              <w:t> </w:t>
            </w:r>
            <w:r>
              <w:rPr>
                <w:spacing w:val="-2"/>
                <w:sz w:val="22"/>
              </w:rPr>
              <w:t>occurs.</w:t>
            </w:r>
          </w:p>
        </w:tc>
      </w:tr>
    </w:tbl>
    <w:p>
      <w:pPr>
        <w:pStyle w:val="TableParagraph"/>
        <w:spacing w:after="0" w:line="233" w:lineRule="exact"/>
        <w:rPr>
          <w:sz w:val="22"/>
        </w:rPr>
        <w:sectPr>
          <w:type w:val="continuous"/>
          <w:pgSz w:w="12240" w:h="15840"/>
          <w:pgMar w:top="1420" w:bottom="280" w:left="720" w:right="720"/>
        </w:sectPr>
      </w:pPr>
    </w:p>
    <w:p>
      <w:pPr>
        <w:spacing w:before="33"/>
        <w:ind w:left="0" w:right="0" w:firstLine="0"/>
        <w:jc w:val="left"/>
        <w:rPr>
          <w:rFonts w:ascii="Calibri"/>
          <w:sz w:val="28"/>
        </w:rPr>
      </w:pPr>
      <w:r>
        <w:rPr>
          <w:rFonts w:ascii="Calibri"/>
          <w:sz w:val="28"/>
        </w:rPr>
        <mc:AlternateContent>
          <mc:Choice Requires="wps">
            <w:drawing>
              <wp:anchor distT="0" distB="0" distL="0" distR="0" allowOverlap="1" layoutInCell="1" locked="0" behindDoc="0" simplePos="0" relativeHeight="15728640">
                <wp:simplePos x="0" y="0"/>
                <wp:positionH relativeFrom="page">
                  <wp:posOffset>4088885</wp:posOffset>
                </wp:positionH>
                <wp:positionV relativeFrom="paragraph">
                  <wp:posOffset>153923</wp:posOffset>
                </wp:positionV>
                <wp:extent cx="3112135" cy="14427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112135" cy="1442720"/>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62"/>
                              <w:gridCol w:w="989"/>
                              <w:gridCol w:w="900"/>
                              <w:gridCol w:w="811"/>
                            </w:tblGrid>
                            <w:tr>
                              <w:trPr>
                                <w:trHeight w:val="313" w:hRule="atLeast"/>
                              </w:trPr>
                              <w:tc>
                                <w:tcPr>
                                  <w:tcW w:w="4762" w:type="dxa"/>
                                  <w:gridSpan w:val="4"/>
                                </w:tcPr>
                                <w:p>
                                  <w:pPr>
                                    <w:pStyle w:val="TableParagraph"/>
                                    <w:spacing w:before="34"/>
                                    <w:ind w:left="107"/>
                                    <w:rPr>
                                      <w:rFonts w:ascii="Calibri"/>
                                      <w:b/>
                                      <w:sz w:val="20"/>
                                    </w:rPr>
                                  </w:pPr>
                                  <w:r>
                                    <w:rPr>
                                      <w:rFonts w:ascii="Calibri"/>
                                      <w:b/>
                                      <w:sz w:val="20"/>
                                    </w:rPr>
                                    <w:t>Turbidity</w:t>
                                  </w:r>
                                  <w:r>
                                    <w:rPr>
                                      <w:rFonts w:ascii="Calibri"/>
                                      <w:b/>
                                      <w:spacing w:val="-8"/>
                                      <w:sz w:val="20"/>
                                    </w:rPr>
                                    <w:t> </w:t>
                                  </w:r>
                                  <w:r>
                                    <w:rPr>
                                      <w:rFonts w:ascii="Calibri"/>
                                      <w:b/>
                                      <w:sz w:val="20"/>
                                    </w:rPr>
                                    <w:t>Meter</w:t>
                                  </w:r>
                                  <w:r>
                                    <w:rPr>
                                      <w:rFonts w:ascii="Calibri"/>
                                      <w:b/>
                                      <w:spacing w:val="-6"/>
                                      <w:sz w:val="20"/>
                                    </w:rPr>
                                    <w:t> </w:t>
                                  </w:r>
                                  <w:r>
                                    <w:rPr>
                                      <w:rFonts w:ascii="Calibri"/>
                                      <w:b/>
                                      <w:sz w:val="20"/>
                                    </w:rPr>
                                    <w:t>Calibration</w:t>
                                  </w:r>
                                  <w:r>
                                    <w:rPr>
                                      <w:rFonts w:ascii="Calibri"/>
                                      <w:b/>
                                      <w:spacing w:val="-6"/>
                                      <w:sz w:val="20"/>
                                    </w:rPr>
                                    <w:t> </w:t>
                                  </w:r>
                                  <w:r>
                                    <w:rPr>
                                      <w:rFonts w:ascii="Calibri"/>
                                      <w:b/>
                                      <w:spacing w:val="-2"/>
                                      <w:sz w:val="20"/>
                                    </w:rPr>
                                    <w:t>(Daily)</w:t>
                                  </w:r>
                                </w:p>
                              </w:tc>
                            </w:tr>
                            <w:tr>
                              <w:trPr>
                                <w:trHeight w:val="613" w:hRule="atLeast"/>
                              </w:trPr>
                              <w:tc>
                                <w:tcPr>
                                  <w:tcW w:w="2062" w:type="dxa"/>
                                </w:tcPr>
                                <w:p>
                                  <w:pPr>
                                    <w:pStyle w:val="TableParagraph"/>
                                    <w:spacing w:before="186"/>
                                    <w:ind w:left="107"/>
                                    <w:rPr>
                                      <w:rFonts w:ascii="Calibri"/>
                                      <w:sz w:val="20"/>
                                    </w:rPr>
                                  </w:pPr>
                                  <w:r>
                                    <w:rPr>
                                      <w:rFonts w:ascii="Calibri"/>
                                      <w:sz w:val="20"/>
                                    </w:rPr>
                                    <w:t>Meter</w:t>
                                  </w:r>
                                  <w:r>
                                    <w:rPr>
                                      <w:rFonts w:ascii="Calibri"/>
                                      <w:spacing w:val="-8"/>
                                      <w:sz w:val="20"/>
                                    </w:rPr>
                                    <w:t> </w:t>
                                  </w:r>
                                  <w:r>
                                    <w:rPr>
                                      <w:rFonts w:ascii="Calibri"/>
                                      <w:spacing w:val="-2"/>
                                      <w:sz w:val="20"/>
                                    </w:rPr>
                                    <w:t>Model:</w:t>
                                  </w:r>
                                </w:p>
                              </w:tc>
                              <w:tc>
                                <w:tcPr>
                                  <w:tcW w:w="2700" w:type="dxa"/>
                                  <w:gridSpan w:val="3"/>
                                </w:tcPr>
                                <w:p>
                                  <w:pPr>
                                    <w:pStyle w:val="TableParagraph"/>
                                    <w:rPr>
                                      <w:sz w:val="18"/>
                                    </w:rPr>
                                  </w:pPr>
                                </w:p>
                              </w:tc>
                            </w:tr>
                            <w:tr>
                              <w:trPr>
                                <w:trHeight w:val="317" w:hRule="atLeast"/>
                              </w:trPr>
                              <w:tc>
                                <w:tcPr>
                                  <w:tcW w:w="2062" w:type="dxa"/>
                                  <w:tcBorders>
                                    <w:bottom w:val="nil"/>
                                  </w:tcBorders>
                                </w:tcPr>
                                <w:p>
                                  <w:pPr>
                                    <w:pStyle w:val="TableParagraph"/>
                                    <w:spacing w:before="27"/>
                                    <w:ind w:left="107"/>
                                    <w:rPr>
                                      <w:rFonts w:ascii="Calibri"/>
                                      <w:sz w:val="20"/>
                                    </w:rPr>
                                  </w:pPr>
                                  <w:r>
                                    <w:rPr>
                                      <w:rFonts w:ascii="Calibri"/>
                                      <w:spacing w:val="-2"/>
                                      <w:sz w:val="20"/>
                                    </w:rPr>
                                    <w:t>Calibration</w:t>
                                  </w:r>
                                  <w:r>
                                    <w:rPr>
                                      <w:rFonts w:ascii="Calibri"/>
                                      <w:spacing w:val="10"/>
                                      <w:sz w:val="20"/>
                                    </w:rPr>
                                    <w:t> </w:t>
                                  </w:r>
                                  <w:r>
                                    <w:rPr>
                                      <w:rFonts w:ascii="Calibri"/>
                                      <w:spacing w:val="-2"/>
                                      <w:sz w:val="20"/>
                                    </w:rPr>
                                    <w:t>Standard</w:t>
                                  </w:r>
                                </w:p>
                              </w:tc>
                              <w:tc>
                                <w:tcPr>
                                  <w:tcW w:w="2700" w:type="dxa"/>
                                  <w:gridSpan w:val="3"/>
                                  <w:vMerge w:val="restart"/>
                                </w:tcPr>
                                <w:p>
                                  <w:pPr>
                                    <w:pStyle w:val="TableParagraph"/>
                                    <w:rPr>
                                      <w:sz w:val="18"/>
                                    </w:rPr>
                                  </w:pPr>
                                </w:p>
                              </w:tc>
                            </w:tr>
                            <w:tr>
                              <w:trPr>
                                <w:trHeight w:val="275" w:hRule="atLeast"/>
                              </w:trPr>
                              <w:tc>
                                <w:tcPr>
                                  <w:tcW w:w="2062" w:type="dxa"/>
                                  <w:tcBorders>
                                    <w:top w:val="nil"/>
                                  </w:tcBorders>
                                </w:tcPr>
                                <w:p>
                                  <w:pPr>
                                    <w:pStyle w:val="TableParagraph"/>
                                    <w:spacing w:before="9"/>
                                    <w:ind w:left="107"/>
                                    <w:rPr>
                                      <w:rFonts w:ascii="Calibri"/>
                                      <w:sz w:val="20"/>
                                    </w:rPr>
                                  </w:pPr>
                                  <w:r>
                                    <w:rPr>
                                      <w:rFonts w:ascii="Calibri"/>
                                      <w:sz w:val="20"/>
                                    </w:rPr>
                                    <w:t>(NTUs</w:t>
                                  </w:r>
                                  <w:r>
                                    <w:rPr>
                                      <w:rFonts w:ascii="Calibri"/>
                                      <w:spacing w:val="-4"/>
                                      <w:sz w:val="20"/>
                                    </w:rPr>
                                    <w:t> </w:t>
                                  </w:r>
                                  <w:r>
                                    <w:rPr>
                                      <w:rFonts w:ascii="Calibri"/>
                                      <w:sz w:val="20"/>
                                    </w:rPr>
                                    <w:t>or</w:t>
                                  </w:r>
                                  <w:r>
                                    <w:rPr>
                                      <w:rFonts w:ascii="Calibri"/>
                                      <w:spacing w:val="-5"/>
                                      <w:sz w:val="20"/>
                                    </w:rPr>
                                    <w:t> </w:t>
                                  </w:r>
                                  <w:r>
                                    <w:rPr>
                                      <w:rFonts w:ascii="Calibri"/>
                                      <w:spacing w:val="-2"/>
                                      <w:sz w:val="20"/>
                                    </w:rPr>
                                    <w:t>FTUs):</w:t>
                                  </w:r>
                                </w:p>
                              </w:tc>
                              <w:tc>
                                <w:tcPr>
                                  <w:tcW w:w="2700" w:type="dxa"/>
                                  <w:gridSpan w:val="3"/>
                                  <w:vMerge/>
                                  <w:tcBorders>
                                    <w:top w:val="nil"/>
                                  </w:tcBorders>
                                </w:tcPr>
                                <w:p>
                                  <w:pPr>
                                    <w:rPr>
                                      <w:sz w:val="2"/>
                                      <w:szCs w:val="2"/>
                                    </w:rPr>
                                  </w:pPr>
                                </w:p>
                              </w:tc>
                            </w:tr>
                            <w:tr>
                              <w:trPr>
                                <w:trHeight w:val="323" w:hRule="atLeast"/>
                              </w:trPr>
                              <w:tc>
                                <w:tcPr>
                                  <w:tcW w:w="2062" w:type="dxa"/>
                                  <w:tcBorders>
                                    <w:bottom w:val="nil"/>
                                  </w:tcBorders>
                                </w:tcPr>
                                <w:p>
                                  <w:pPr>
                                    <w:pStyle w:val="TableParagraph"/>
                                    <w:spacing w:before="30"/>
                                    <w:ind w:left="107"/>
                                    <w:rPr>
                                      <w:rFonts w:ascii="Calibri"/>
                                      <w:sz w:val="20"/>
                                    </w:rPr>
                                  </w:pPr>
                                  <w:r>
                                    <w:rPr>
                                      <w:rFonts w:ascii="Calibri"/>
                                      <w:spacing w:val="-2"/>
                                      <w:sz w:val="20"/>
                                    </w:rPr>
                                    <w:t>Calibration</w:t>
                                  </w:r>
                                  <w:r>
                                    <w:rPr>
                                      <w:rFonts w:ascii="Calibri"/>
                                      <w:spacing w:val="10"/>
                                      <w:sz w:val="20"/>
                                    </w:rPr>
                                    <w:t> </w:t>
                                  </w:r>
                                  <w:r>
                                    <w:rPr>
                                      <w:rFonts w:ascii="Calibri"/>
                                      <w:spacing w:val="-2"/>
                                      <w:sz w:val="20"/>
                                    </w:rPr>
                                    <w:t>Reading</w:t>
                                  </w:r>
                                </w:p>
                              </w:tc>
                              <w:tc>
                                <w:tcPr>
                                  <w:tcW w:w="989" w:type="dxa"/>
                                  <w:vMerge w:val="restart"/>
                                </w:tcPr>
                                <w:p>
                                  <w:pPr>
                                    <w:pStyle w:val="TableParagraph"/>
                                    <w:rPr>
                                      <w:sz w:val="18"/>
                                    </w:rPr>
                                  </w:pPr>
                                </w:p>
                              </w:tc>
                              <w:tc>
                                <w:tcPr>
                                  <w:tcW w:w="900" w:type="dxa"/>
                                  <w:vMerge w:val="restart"/>
                                </w:tcPr>
                                <w:p>
                                  <w:pPr>
                                    <w:pStyle w:val="TableParagraph"/>
                                    <w:spacing w:before="148"/>
                                    <w:ind w:left="107"/>
                                    <w:rPr>
                                      <w:rFonts w:ascii="Calibri" w:hAnsi="Calibri"/>
                                      <w:sz w:val="20"/>
                                    </w:rPr>
                                  </w:pPr>
                                  <w:r>
                                    <w:rPr>
                                      <w:rFonts w:ascii="Calibri" w:hAnsi="Calibri"/>
                                      <w:sz w:val="28"/>
                                    </w:rPr>
                                    <w:t>□</w:t>
                                  </w:r>
                                  <w:r>
                                    <w:rPr>
                                      <w:rFonts w:ascii="Calibri" w:hAnsi="Calibri"/>
                                      <w:spacing w:val="28"/>
                                      <w:sz w:val="28"/>
                                    </w:rPr>
                                    <w:t> </w:t>
                                  </w:r>
                                  <w:r>
                                    <w:rPr>
                                      <w:rFonts w:ascii="Calibri" w:hAnsi="Calibri"/>
                                      <w:spacing w:val="-4"/>
                                      <w:sz w:val="20"/>
                                    </w:rPr>
                                    <w:t>Pass</w:t>
                                  </w:r>
                                </w:p>
                              </w:tc>
                              <w:tc>
                                <w:tcPr>
                                  <w:tcW w:w="811" w:type="dxa"/>
                                  <w:vMerge w:val="restart"/>
                                </w:tcPr>
                                <w:p>
                                  <w:pPr>
                                    <w:pStyle w:val="TableParagraph"/>
                                    <w:spacing w:before="148"/>
                                    <w:ind w:left="107"/>
                                    <w:rPr>
                                      <w:rFonts w:ascii="Calibri" w:hAnsi="Calibri"/>
                                      <w:sz w:val="20"/>
                                    </w:rPr>
                                  </w:pPr>
                                  <w:r>
                                    <w:rPr>
                                      <w:rFonts w:ascii="Calibri" w:hAnsi="Calibri"/>
                                      <w:sz w:val="28"/>
                                    </w:rPr>
                                    <w:t>□</w:t>
                                  </w:r>
                                  <w:r>
                                    <w:rPr>
                                      <w:rFonts w:ascii="Calibri" w:hAnsi="Calibri"/>
                                      <w:spacing w:val="28"/>
                                      <w:sz w:val="28"/>
                                    </w:rPr>
                                    <w:t> </w:t>
                                  </w:r>
                                  <w:r>
                                    <w:rPr>
                                      <w:rFonts w:ascii="Calibri" w:hAnsi="Calibri"/>
                                      <w:spacing w:val="-4"/>
                                      <w:sz w:val="20"/>
                                    </w:rPr>
                                    <w:t>Fail</w:t>
                                  </w:r>
                                </w:p>
                              </w:tc>
                            </w:tr>
                            <w:tr>
                              <w:trPr>
                                <w:trHeight w:val="291" w:hRule="atLeast"/>
                              </w:trPr>
                              <w:tc>
                                <w:tcPr>
                                  <w:tcW w:w="2062" w:type="dxa"/>
                                  <w:tcBorders>
                                    <w:top w:val="nil"/>
                                  </w:tcBorders>
                                </w:tcPr>
                                <w:p>
                                  <w:pPr>
                                    <w:pStyle w:val="TableParagraph"/>
                                    <w:spacing w:before="12"/>
                                    <w:ind w:left="107"/>
                                    <w:rPr>
                                      <w:rFonts w:ascii="Calibri"/>
                                      <w:sz w:val="20"/>
                                    </w:rPr>
                                  </w:pPr>
                                  <w:r>
                                    <w:rPr>
                                      <w:rFonts w:ascii="Calibri"/>
                                      <w:sz w:val="20"/>
                                    </w:rPr>
                                    <w:t>(NTUs</w:t>
                                  </w:r>
                                  <w:r>
                                    <w:rPr>
                                      <w:rFonts w:ascii="Calibri"/>
                                      <w:spacing w:val="-4"/>
                                      <w:sz w:val="20"/>
                                    </w:rPr>
                                    <w:t> </w:t>
                                  </w:r>
                                  <w:r>
                                    <w:rPr>
                                      <w:rFonts w:ascii="Calibri"/>
                                      <w:sz w:val="20"/>
                                    </w:rPr>
                                    <w:t>or</w:t>
                                  </w:r>
                                  <w:r>
                                    <w:rPr>
                                      <w:rFonts w:ascii="Calibri"/>
                                      <w:spacing w:val="-5"/>
                                      <w:sz w:val="20"/>
                                    </w:rPr>
                                    <w:t> </w:t>
                                  </w:r>
                                  <w:r>
                                    <w:rPr>
                                      <w:rFonts w:ascii="Calibri"/>
                                      <w:spacing w:val="-2"/>
                                      <w:sz w:val="20"/>
                                    </w:rPr>
                                    <w:t>FTUs):</w:t>
                                  </w:r>
                                </w:p>
                              </w:tc>
                              <w:tc>
                                <w:tcPr>
                                  <w:tcW w:w="989" w:type="dxa"/>
                                  <w:vMerge/>
                                  <w:tcBorders>
                                    <w:top w:val="nil"/>
                                  </w:tcBorders>
                                </w:tcPr>
                                <w:p>
                                  <w:pPr>
                                    <w:rPr>
                                      <w:sz w:val="2"/>
                                      <w:szCs w:val="2"/>
                                    </w:rPr>
                                  </w:pPr>
                                </w:p>
                              </w:tc>
                              <w:tc>
                                <w:tcPr>
                                  <w:tcW w:w="900" w:type="dxa"/>
                                  <w:vMerge/>
                                  <w:tcBorders>
                                    <w:top w:val="nil"/>
                                  </w:tcBorders>
                                </w:tcPr>
                                <w:p>
                                  <w:pPr>
                                    <w:rPr>
                                      <w:sz w:val="2"/>
                                      <w:szCs w:val="2"/>
                                    </w:rPr>
                                  </w:pPr>
                                </w:p>
                              </w:tc>
                              <w:tc>
                                <w:tcPr>
                                  <w:tcW w:w="811" w:type="dxa"/>
                                  <w:vMerge/>
                                  <w:tcBorders>
                                    <w:top w:val="nil"/>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21.959503pt;margin-top:12.12pt;width:245.05pt;height:113.6pt;mso-position-horizontal-relative:page;mso-position-vertical-relative:paragraph;z-index:15728640" type="#_x0000_t202" id="docshape1"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62"/>
                        <w:gridCol w:w="989"/>
                        <w:gridCol w:w="900"/>
                        <w:gridCol w:w="811"/>
                      </w:tblGrid>
                      <w:tr>
                        <w:trPr>
                          <w:trHeight w:val="313" w:hRule="atLeast"/>
                        </w:trPr>
                        <w:tc>
                          <w:tcPr>
                            <w:tcW w:w="4762" w:type="dxa"/>
                            <w:gridSpan w:val="4"/>
                          </w:tcPr>
                          <w:p>
                            <w:pPr>
                              <w:pStyle w:val="TableParagraph"/>
                              <w:spacing w:before="34"/>
                              <w:ind w:left="107"/>
                              <w:rPr>
                                <w:rFonts w:ascii="Calibri"/>
                                <w:b/>
                                <w:sz w:val="20"/>
                              </w:rPr>
                            </w:pPr>
                            <w:r>
                              <w:rPr>
                                <w:rFonts w:ascii="Calibri"/>
                                <w:b/>
                                <w:sz w:val="20"/>
                              </w:rPr>
                              <w:t>Turbidity</w:t>
                            </w:r>
                            <w:r>
                              <w:rPr>
                                <w:rFonts w:ascii="Calibri"/>
                                <w:b/>
                                <w:spacing w:val="-8"/>
                                <w:sz w:val="20"/>
                              </w:rPr>
                              <w:t> </w:t>
                            </w:r>
                            <w:r>
                              <w:rPr>
                                <w:rFonts w:ascii="Calibri"/>
                                <w:b/>
                                <w:sz w:val="20"/>
                              </w:rPr>
                              <w:t>Meter</w:t>
                            </w:r>
                            <w:r>
                              <w:rPr>
                                <w:rFonts w:ascii="Calibri"/>
                                <w:b/>
                                <w:spacing w:val="-6"/>
                                <w:sz w:val="20"/>
                              </w:rPr>
                              <w:t> </w:t>
                            </w:r>
                            <w:r>
                              <w:rPr>
                                <w:rFonts w:ascii="Calibri"/>
                                <w:b/>
                                <w:sz w:val="20"/>
                              </w:rPr>
                              <w:t>Calibration</w:t>
                            </w:r>
                            <w:r>
                              <w:rPr>
                                <w:rFonts w:ascii="Calibri"/>
                                <w:b/>
                                <w:spacing w:val="-6"/>
                                <w:sz w:val="20"/>
                              </w:rPr>
                              <w:t> </w:t>
                            </w:r>
                            <w:r>
                              <w:rPr>
                                <w:rFonts w:ascii="Calibri"/>
                                <w:b/>
                                <w:spacing w:val="-2"/>
                                <w:sz w:val="20"/>
                              </w:rPr>
                              <w:t>(Daily)</w:t>
                            </w:r>
                          </w:p>
                        </w:tc>
                      </w:tr>
                      <w:tr>
                        <w:trPr>
                          <w:trHeight w:val="613" w:hRule="atLeast"/>
                        </w:trPr>
                        <w:tc>
                          <w:tcPr>
                            <w:tcW w:w="2062" w:type="dxa"/>
                          </w:tcPr>
                          <w:p>
                            <w:pPr>
                              <w:pStyle w:val="TableParagraph"/>
                              <w:spacing w:before="186"/>
                              <w:ind w:left="107"/>
                              <w:rPr>
                                <w:rFonts w:ascii="Calibri"/>
                                <w:sz w:val="20"/>
                              </w:rPr>
                            </w:pPr>
                            <w:r>
                              <w:rPr>
                                <w:rFonts w:ascii="Calibri"/>
                                <w:sz w:val="20"/>
                              </w:rPr>
                              <w:t>Meter</w:t>
                            </w:r>
                            <w:r>
                              <w:rPr>
                                <w:rFonts w:ascii="Calibri"/>
                                <w:spacing w:val="-8"/>
                                <w:sz w:val="20"/>
                              </w:rPr>
                              <w:t> </w:t>
                            </w:r>
                            <w:r>
                              <w:rPr>
                                <w:rFonts w:ascii="Calibri"/>
                                <w:spacing w:val="-2"/>
                                <w:sz w:val="20"/>
                              </w:rPr>
                              <w:t>Model:</w:t>
                            </w:r>
                          </w:p>
                        </w:tc>
                        <w:tc>
                          <w:tcPr>
                            <w:tcW w:w="2700" w:type="dxa"/>
                            <w:gridSpan w:val="3"/>
                          </w:tcPr>
                          <w:p>
                            <w:pPr>
                              <w:pStyle w:val="TableParagraph"/>
                              <w:rPr>
                                <w:sz w:val="18"/>
                              </w:rPr>
                            </w:pPr>
                          </w:p>
                        </w:tc>
                      </w:tr>
                      <w:tr>
                        <w:trPr>
                          <w:trHeight w:val="317" w:hRule="atLeast"/>
                        </w:trPr>
                        <w:tc>
                          <w:tcPr>
                            <w:tcW w:w="2062" w:type="dxa"/>
                            <w:tcBorders>
                              <w:bottom w:val="nil"/>
                            </w:tcBorders>
                          </w:tcPr>
                          <w:p>
                            <w:pPr>
                              <w:pStyle w:val="TableParagraph"/>
                              <w:spacing w:before="27"/>
                              <w:ind w:left="107"/>
                              <w:rPr>
                                <w:rFonts w:ascii="Calibri"/>
                                <w:sz w:val="20"/>
                              </w:rPr>
                            </w:pPr>
                            <w:r>
                              <w:rPr>
                                <w:rFonts w:ascii="Calibri"/>
                                <w:spacing w:val="-2"/>
                                <w:sz w:val="20"/>
                              </w:rPr>
                              <w:t>Calibration</w:t>
                            </w:r>
                            <w:r>
                              <w:rPr>
                                <w:rFonts w:ascii="Calibri"/>
                                <w:spacing w:val="10"/>
                                <w:sz w:val="20"/>
                              </w:rPr>
                              <w:t> </w:t>
                            </w:r>
                            <w:r>
                              <w:rPr>
                                <w:rFonts w:ascii="Calibri"/>
                                <w:spacing w:val="-2"/>
                                <w:sz w:val="20"/>
                              </w:rPr>
                              <w:t>Standard</w:t>
                            </w:r>
                          </w:p>
                        </w:tc>
                        <w:tc>
                          <w:tcPr>
                            <w:tcW w:w="2700" w:type="dxa"/>
                            <w:gridSpan w:val="3"/>
                            <w:vMerge w:val="restart"/>
                          </w:tcPr>
                          <w:p>
                            <w:pPr>
                              <w:pStyle w:val="TableParagraph"/>
                              <w:rPr>
                                <w:sz w:val="18"/>
                              </w:rPr>
                            </w:pPr>
                          </w:p>
                        </w:tc>
                      </w:tr>
                      <w:tr>
                        <w:trPr>
                          <w:trHeight w:val="275" w:hRule="atLeast"/>
                        </w:trPr>
                        <w:tc>
                          <w:tcPr>
                            <w:tcW w:w="2062" w:type="dxa"/>
                            <w:tcBorders>
                              <w:top w:val="nil"/>
                            </w:tcBorders>
                          </w:tcPr>
                          <w:p>
                            <w:pPr>
                              <w:pStyle w:val="TableParagraph"/>
                              <w:spacing w:before="9"/>
                              <w:ind w:left="107"/>
                              <w:rPr>
                                <w:rFonts w:ascii="Calibri"/>
                                <w:sz w:val="20"/>
                              </w:rPr>
                            </w:pPr>
                            <w:r>
                              <w:rPr>
                                <w:rFonts w:ascii="Calibri"/>
                                <w:sz w:val="20"/>
                              </w:rPr>
                              <w:t>(NTUs</w:t>
                            </w:r>
                            <w:r>
                              <w:rPr>
                                <w:rFonts w:ascii="Calibri"/>
                                <w:spacing w:val="-4"/>
                                <w:sz w:val="20"/>
                              </w:rPr>
                              <w:t> </w:t>
                            </w:r>
                            <w:r>
                              <w:rPr>
                                <w:rFonts w:ascii="Calibri"/>
                                <w:sz w:val="20"/>
                              </w:rPr>
                              <w:t>or</w:t>
                            </w:r>
                            <w:r>
                              <w:rPr>
                                <w:rFonts w:ascii="Calibri"/>
                                <w:spacing w:val="-5"/>
                                <w:sz w:val="20"/>
                              </w:rPr>
                              <w:t> </w:t>
                            </w:r>
                            <w:r>
                              <w:rPr>
                                <w:rFonts w:ascii="Calibri"/>
                                <w:spacing w:val="-2"/>
                                <w:sz w:val="20"/>
                              </w:rPr>
                              <w:t>FTUs):</w:t>
                            </w:r>
                          </w:p>
                        </w:tc>
                        <w:tc>
                          <w:tcPr>
                            <w:tcW w:w="2700" w:type="dxa"/>
                            <w:gridSpan w:val="3"/>
                            <w:vMerge/>
                            <w:tcBorders>
                              <w:top w:val="nil"/>
                            </w:tcBorders>
                          </w:tcPr>
                          <w:p>
                            <w:pPr>
                              <w:rPr>
                                <w:sz w:val="2"/>
                                <w:szCs w:val="2"/>
                              </w:rPr>
                            </w:pPr>
                          </w:p>
                        </w:tc>
                      </w:tr>
                      <w:tr>
                        <w:trPr>
                          <w:trHeight w:val="323" w:hRule="atLeast"/>
                        </w:trPr>
                        <w:tc>
                          <w:tcPr>
                            <w:tcW w:w="2062" w:type="dxa"/>
                            <w:tcBorders>
                              <w:bottom w:val="nil"/>
                            </w:tcBorders>
                          </w:tcPr>
                          <w:p>
                            <w:pPr>
                              <w:pStyle w:val="TableParagraph"/>
                              <w:spacing w:before="30"/>
                              <w:ind w:left="107"/>
                              <w:rPr>
                                <w:rFonts w:ascii="Calibri"/>
                                <w:sz w:val="20"/>
                              </w:rPr>
                            </w:pPr>
                            <w:r>
                              <w:rPr>
                                <w:rFonts w:ascii="Calibri"/>
                                <w:spacing w:val="-2"/>
                                <w:sz w:val="20"/>
                              </w:rPr>
                              <w:t>Calibration</w:t>
                            </w:r>
                            <w:r>
                              <w:rPr>
                                <w:rFonts w:ascii="Calibri"/>
                                <w:spacing w:val="10"/>
                                <w:sz w:val="20"/>
                              </w:rPr>
                              <w:t> </w:t>
                            </w:r>
                            <w:r>
                              <w:rPr>
                                <w:rFonts w:ascii="Calibri"/>
                                <w:spacing w:val="-2"/>
                                <w:sz w:val="20"/>
                              </w:rPr>
                              <w:t>Reading</w:t>
                            </w:r>
                          </w:p>
                        </w:tc>
                        <w:tc>
                          <w:tcPr>
                            <w:tcW w:w="989" w:type="dxa"/>
                            <w:vMerge w:val="restart"/>
                          </w:tcPr>
                          <w:p>
                            <w:pPr>
                              <w:pStyle w:val="TableParagraph"/>
                              <w:rPr>
                                <w:sz w:val="18"/>
                              </w:rPr>
                            </w:pPr>
                          </w:p>
                        </w:tc>
                        <w:tc>
                          <w:tcPr>
                            <w:tcW w:w="900" w:type="dxa"/>
                            <w:vMerge w:val="restart"/>
                          </w:tcPr>
                          <w:p>
                            <w:pPr>
                              <w:pStyle w:val="TableParagraph"/>
                              <w:spacing w:before="148"/>
                              <w:ind w:left="107"/>
                              <w:rPr>
                                <w:rFonts w:ascii="Calibri" w:hAnsi="Calibri"/>
                                <w:sz w:val="20"/>
                              </w:rPr>
                            </w:pPr>
                            <w:r>
                              <w:rPr>
                                <w:rFonts w:ascii="Calibri" w:hAnsi="Calibri"/>
                                <w:sz w:val="28"/>
                              </w:rPr>
                              <w:t>□</w:t>
                            </w:r>
                            <w:r>
                              <w:rPr>
                                <w:rFonts w:ascii="Calibri" w:hAnsi="Calibri"/>
                                <w:spacing w:val="28"/>
                                <w:sz w:val="28"/>
                              </w:rPr>
                              <w:t> </w:t>
                            </w:r>
                            <w:r>
                              <w:rPr>
                                <w:rFonts w:ascii="Calibri" w:hAnsi="Calibri"/>
                                <w:spacing w:val="-4"/>
                                <w:sz w:val="20"/>
                              </w:rPr>
                              <w:t>Pass</w:t>
                            </w:r>
                          </w:p>
                        </w:tc>
                        <w:tc>
                          <w:tcPr>
                            <w:tcW w:w="811" w:type="dxa"/>
                            <w:vMerge w:val="restart"/>
                          </w:tcPr>
                          <w:p>
                            <w:pPr>
                              <w:pStyle w:val="TableParagraph"/>
                              <w:spacing w:before="148"/>
                              <w:ind w:left="107"/>
                              <w:rPr>
                                <w:rFonts w:ascii="Calibri" w:hAnsi="Calibri"/>
                                <w:sz w:val="20"/>
                              </w:rPr>
                            </w:pPr>
                            <w:r>
                              <w:rPr>
                                <w:rFonts w:ascii="Calibri" w:hAnsi="Calibri"/>
                                <w:sz w:val="28"/>
                              </w:rPr>
                              <w:t>□</w:t>
                            </w:r>
                            <w:r>
                              <w:rPr>
                                <w:rFonts w:ascii="Calibri" w:hAnsi="Calibri"/>
                                <w:spacing w:val="28"/>
                                <w:sz w:val="28"/>
                              </w:rPr>
                              <w:t> </w:t>
                            </w:r>
                            <w:r>
                              <w:rPr>
                                <w:rFonts w:ascii="Calibri" w:hAnsi="Calibri"/>
                                <w:spacing w:val="-4"/>
                                <w:sz w:val="20"/>
                              </w:rPr>
                              <w:t>Fail</w:t>
                            </w:r>
                          </w:p>
                        </w:tc>
                      </w:tr>
                      <w:tr>
                        <w:trPr>
                          <w:trHeight w:val="291" w:hRule="atLeast"/>
                        </w:trPr>
                        <w:tc>
                          <w:tcPr>
                            <w:tcW w:w="2062" w:type="dxa"/>
                            <w:tcBorders>
                              <w:top w:val="nil"/>
                            </w:tcBorders>
                          </w:tcPr>
                          <w:p>
                            <w:pPr>
                              <w:pStyle w:val="TableParagraph"/>
                              <w:spacing w:before="12"/>
                              <w:ind w:left="107"/>
                              <w:rPr>
                                <w:rFonts w:ascii="Calibri"/>
                                <w:sz w:val="20"/>
                              </w:rPr>
                            </w:pPr>
                            <w:r>
                              <w:rPr>
                                <w:rFonts w:ascii="Calibri"/>
                                <w:sz w:val="20"/>
                              </w:rPr>
                              <w:t>(NTUs</w:t>
                            </w:r>
                            <w:r>
                              <w:rPr>
                                <w:rFonts w:ascii="Calibri"/>
                                <w:spacing w:val="-4"/>
                                <w:sz w:val="20"/>
                              </w:rPr>
                              <w:t> </w:t>
                            </w:r>
                            <w:r>
                              <w:rPr>
                                <w:rFonts w:ascii="Calibri"/>
                                <w:sz w:val="20"/>
                              </w:rPr>
                              <w:t>or</w:t>
                            </w:r>
                            <w:r>
                              <w:rPr>
                                <w:rFonts w:ascii="Calibri"/>
                                <w:spacing w:val="-5"/>
                                <w:sz w:val="20"/>
                              </w:rPr>
                              <w:t> </w:t>
                            </w:r>
                            <w:r>
                              <w:rPr>
                                <w:rFonts w:ascii="Calibri"/>
                                <w:spacing w:val="-2"/>
                                <w:sz w:val="20"/>
                              </w:rPr>
                              <w:t>FTUs):</w:t>
                            </w:r>
                          </w:p>
                        </w:tc>
                        <w:tc>
                          <w:tcPr>
                            <w:tcW w:w="989" w:type="dxa"/>
                            <w:vMerge/>
                            <w:tcBorders>
                              <w:top w:val="nil"/>
                            </w:tcBorders>
                          </w:tcPr>
                          <w:p>
                            <w:pPr>
                              <w:rPr>
                                <w:sz w:val="2"/>
                                <w:szCs w:val="2"/>
                              </w:rPr>
                            </w:pPr>
                          </w:p>
                        </w:tc>
                        <w:tc>
                          <w:tcPr>
                            <w:tcW w:w="900" w:type="dxa"/>
                            <w:vMerge/>
                            <w:tcBorders>
                              <w:top w:val="nil"/>
                            </w:tcBorders>
                          </w:tcPr>
                          <w:p>
                            <w:pPr>
                              <w:rPr>
                                <w:sz w:val="2"/>
                                <w:szCs w:val="2"/>
                              </w:rPr>
                            </w:pPr>
                          </w:p>
                        </w:tc>
                        <w:tc>
                          <w:tcPr>
                            <w:tcW w:w="811" w:type="dxa"/>
                            <w:vMerge/>
                            <w:tcBorders>
                              <w:top w:val="nil"/>
                            </w:tcBorders>
                          </w:tcPr>
                          <w:p>
                            <w:pPr>
                              <w:rPr>
                                <w:sz w:val="2"/>
                                <w:szCs w:val="2"/>
                              </w:rPr>
                            </w:pPr>
                          </w:p>
                        </w:tc>
                      </w:tr>
                    </w:tbl>
                    <w:p>
                      <w:pPr>
                        <w:pStyle w:val="BodyText"/>
                      </w:pPr>
                    </w:p>
                  </w:txbxContent>
                </v:textbox>
                <w10:wrap type="none"/>
              </v:shape>
            </w:pict>
          </mc:Fallback>
        </mc:AlternateContent>
      </w:r>
      <w:bookmarkStart w:name="15_Turbidity Monitoring Report" w:id="3"/>
      <w:bookmarkEnd w:id="3"/>
      <w:r>
        <w:rPr/>
      </w:r>
      <w:r>
        <w:rPr>
          <w:rFonts w:ascii="Calibri"/>
          <w:sz w:val="28"/>
        </w:rPr>
        <w:t>VPDES</w:t>
      </w:r>
      <w:r>
        <w:rPr>
          <w:rFonts w:ascii="Calibri"/>
          <w:spacing w:val="-7"/>
          <w:sz w:val="28"/>
        </w:rPr>
        <w:t> </w:t>
      </w:r>
      <w:r>
        <w:rPr>
          <w:rFonts w:ascii="Calibri"/>
          <w:sz w:val="28"/>
        </w:rPr>
        <w:t>Turbidity</w:t>
      </w:r>
      <w:r>
        <w:rPr>
          <w:rFonts w:ascii="Calibri"/>
          <w:spacing w:val="-6"/>
          <w:sz w:val="28"/>
        </w:rPr>
        <w:t> </w:t>
      </w:r>
      <w:r>
        <w:rPr>
          <w:rFonts w:ascii="Calibri"/>
          <w:sz w:val="28"/>
        </w:rPr>
        <w:t>Monitoring</w:t>
      </w:r>
      <w:r>
        <w:rPr>
          <w:rFonts w:ascii="Calibri"/>
          <w:spacing w:val="-7"/>
          <w:sz w:val="28"/>
        </w:rPr>
        <w:t> </w:t>
      </w:r>
      <w:r>
        <w:rPr>
          <w:rFonts w:ascii="Calibri"/>
          <w:spacing w:val="-2"/>
          <w:sz w:val="28"/>
        </w:rPr>
        <w:t>Report</w:t>
      </w:r>
    </w:p>
    <w:p>
      <w:pPr>
        <w:spacing w:before="219"/>
        <w:ind w:left="0" w:right="10158" w:firstLine="0"/>
        <w:jc w:val="left"/>
        <w:rPr>
          <w:rFonts w:ascii="Calibri"/>
          <w:sz w:val="22"/>
        </w:rPr>
      </w:pPr>
      <w:r>
        <w:rPr>
          <w:rFonts w:ascii="Calibri"/>
          <w:spacing w:val="-2"/>
          <w:sz w:val="22"/>
        </w:rPr>
        <w:t>Project Name:</w:t>
      </w:r>
    </w:p>
    <w:p>
      <w:pPr>
        <w:spacing w:before="121"/>
        <w:ind w:left="0" w:right="0" w:firstLine="0"/>
        <w:jc w:val="left"/>
        <w:rPr>
          <w:rFonts w:ascii="Calibri"/>
          <w:sz w:val="22"/>
        </w:rPr>
      </w:pPr>
      <w:r>
        <w:rPr>
          <w:rFonts w:ascii="Calibri"/>
          <w:spacing w:val="-2"/>
          <w:sz w:val="22"/>
        </w:rPr>
        <w:t>VAR10:</w:t>
      </w:r>
    </w:p>
    <w:p>
      <w:pPr>
        <w:spacing w:before="120"/>
        <w:ind w:left="0" w:right="0" w:firstLine="0"/>
        <w:jc w:val="left"/>
        <w:rPr>
          <w:rFonts w:ascii="Calibri"/>
          <w:sz w:val="22"/>
        </w:rPr>
      </w:pPr>
      <w:r>
        <w:rPr>
          <w:rFonts w:ascii="Calibri"/>
          <w:spacing w:val="-2"/>
          <w:sz w:val="22"/>
        </w:rPr>
        <w:t>Date:</w:t>
      </w:r>
    </w:p>
    <w:p>
      <w:pPr>
        <w:pStyle w:val="BodyText"/>
        <w:rPr>
          <w:rFonts w:ascii="Calibri"/>
          <w:sz w:val="20"/>
        </w:rPr>
      </w:pPr>
    </w:p>
    <w:p>
      <w:pPr>
        <w:pStyle w:val="BodyText"/>
        <w:rPr>
          <w:rFonts w:ascii="Calibri"/>
          <w:sz w:val="20"/>
        </w:rPr>
      </w:pPr>
    </w:p>
    <w:p>
      <w:pPr>
        <w:pStyle w:val="BodyText"/>
        <w:spacing w:before="29"/>
        <w:rPr>
          <w:rFonts w:ascii="Calibri"/>
          <w:sz w:val="20"/>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23"/>
        <w:gridCol w:w="1711"/>
        <w:gridCol w:w="187"/>
        <w:gridCol w:w="353"/>
        <w:gridCol w:w="1171"/>
        <w:gridCol w:w="1298"/>
        <w:gridCol w:w="410"/>
        <w:gridCol w:w="1897"/>
      </w:tblGrid>
      <w:tr>
        <w:trPr>
          <w:trHeight w:val="616" w:hRule="atLeast"/>
        </w:trPr>
        <w:tc>
          <w:tcPr>
            <w:tcW w:w="3323" w:type="dxa"/>
          </w:tcPr>
          <w:p>
            <w:pPr>
              <w:pStyle w:val="TableParagraph"/>
              <w:spacing w:line="243" w:lineRule="exact"/>
              <w:ind w:left="108"/>
              <w:rPr>
                <w:rFonts w:ascii="Calibri"/>
                <w:b/>
                <w:sz w:val="20"/>
              </w:rPr>
            </w:pPr>
            <w:r>
              <w:rPr>
                <w:rFonts w:ascii="Calibri"/>
                <w:b/>
                <w:sz w:val="20"/>
              </w:rPr>
              <w:t>Turbidity</w:t>
            </w:r>
            <w:r>
              <w:rPr>
                <w:rFonts w:ascii="Calibri"/>
                <w:b/>
                <w:spacing w:val="-7"/>
                <w:sz w:val="20"/>
              </w:rPr>
              <w:t> </w:t>
            </w:r>
            <w:r>
              <w:rPr>
                <w:rFonts w:ascii="Calibri"/>
                <w:b/>
                <w:sz w:val="20"/>
              </w:rPr>
              <w:t>Benchmark</w:t>
            </w:r>
            <w:r>
              <w:rPr>
                <w:rFonts w:ascii="Calibri"/>
                <w:b/>
                <w:spacing w:val="-5"/>
                <w:sz w:val="20"/>
              </w:rPr>
              <w:t> </w:t>
            </w:r>
            <w:r>
              <w:rPr>
                <w:rFonts w:ascii="Calibri"/>
                <w:b/>
                <w:spacing w:val="-2"/>
                <w:sz w:val="20"/>
              </w:rPr>
              <w:t>Utilized:</w:t>
            </w:r>
          </w:p>
        </w:tc>
        <w:tc>
          <w:tcPr>
            <w:tcW w:w="1711" w:type="dxa"/>
          </w:tcPr>
          <w:p>
            <w:pPr>
              <w:pStyle w:val="TableParagraph"/>
              <w:spacing w:line="341" w:lineRule="exact"/>
              <w:ind w:left="109"/>
              <w:rPr>
                <w:rFonts w:ascii="Calibri" w:hAnsi="Calibri"/>
                <w:sz w:val="20"/>
              </w:rPr>
            </w:pPr>
            <w:r>
              <w:rPr>
                <w:rFonts w:ascii="Calibri" w:hAnsi="Calibri"/>
                <w:spacing w:val="-2"/>
                <w:sz w:val="28"/>
              </w:rPr>
              <w:t>□</w:t>
            </w:r>
            <w:r>
              <w:rPr>
                <w:rFonts w:ascii="Calibri" w:hAnsi="Calibri"/>
                <w:spacing w:val="-14"/>
                <w:sz w:val="28"/>
              </w:rPr>
              <w:t> </w:t>
            </w:r>
            <w:r>
              <w:rPr>
                <w:rFonts w:ascii="Calibri" w:hAnsi="Calibri"/>
                <w:spacing w:val="-2"/>
                <w:sz w:val="20"/>
              </w:rPr>
              <w:t>Benchmark</w:t>
            </w:r>
            <w:r>
              <w:rPr>
                <w:rFonts w:ascii="Calibri" w:hAnsi="Calibri"/>
                <w:spacing w:val="4"/>
                <w:sz w:val="20"/>
              </w:rPr>
              <w:t> </w:t>
            </w:r>
            <w:r>
              <w:rPr>
                <w:rFonts w:ascii="Calibri" w:hAnsi="Calibri"/>
                <w:spacing w:val="-5"/>
                <w:sz w:val="20"/>
              </w:rPr>
              <w:t>#1</w:t>
            </w:r>
          </w:p>
        </w:tc>
        <w:tc>
          <w:tcPr>
            <w:tcW w:w="1711" w:type="dxa"/>
            <w:gridSpan w:val="3"/>
          </w:tcPr>
          <w:p>
            <w:pPr>
              <w:pStyle w:val="TableParagraph"/>
              <w:spacing w:line="341" w:lineRule="exact"/>
              <w:ind w:left="110"/>
              <w:rPr>
                <w:rFonts w:ascii="Calibri" w:hAnsi="Calibri"/>
                <w:sz w:val="20"/>
              </w:rPr>
            </w:pPr>
            <w:r>
              <w:rPr>
                <w:rFonts w:ascii="Calibri" w:hAnsi="Calibri"/>
                <w:spacing w:val="-2"/>
                <w:sz w:val="28"/>
              </w:rPr>
              <w:t>□</w:t>
            </w:r>
            <w:r>
              <w:rPr>
                <w:rFonts w:ascii="Calibri" w:hAnsi="Calibri"/>
                <w:spacing w:val="-14"/>
                <w:sz w:val="28"/>
              </w:rPr>
              <w:t> </w:t>
            </w:r>
            <w:r>
              <w:rPr>
                <w:rFonts w:ascii="Calibri" w:hAnsi="Calibri"/>
                <w:spacing w:val="-2"/>
                <w:sz w:val="20"/>
              </w:rPr>
              <w:t>Benchmark</w:t>
            </w:r>
            <w:r>
              <w:rPr>
                <w:rFonts w:ascii="Calibri" w:hAnsi="Calibri"/>
                <w:spacing w:val="4"/>
                <w:sz w:val="20"/>
              </w:rPr>
              <w:t> </w:t>
            </w:r>
            <w:r>
              <w:rPr>
                <w:rFonts w:ascii="Calibri" w:hAnsi="Calibri"/>
                <w:spacing w:val="-5"/>
                <w:sz w:val="20"/>
              </w:rPr>
              <w:t>#2</w:t>
            </w:r>
          </w:p>
        </w:tc>
        <w:tc>
          <w:tcPr>
            <w:tcW w:w="1708" w:type="dxa"/>
            <w:gridSpan w:val="2"/>
          </w:tcPr>
          <w:p>
            <w:pPr>
              <w:pStyle w:val="TableParagraph"/>
              <w:spacing w:line="341" w:lineRule="exact"/>
              <w:ind w:left="107"/>
              <w:rPr>
                <w:rFonts w:ascii="Calibri" w:hAnsi="Calibri"/>
                <w:sz w:val="20"/>
              </w:rPr>
            </w:pPr>
            <w:r>
              <w:rPr>
                <w:rFonts w:ascii="Calibri" w:hAnsi="Calibri"/>
                <w:spacing w:val="-2"/>
                <w:sz w:val="28"/>
              </w:rPr>
              <w:t>□</w:t>
            </w:r>
            <w:r>
              <w:rPr>
                <w:rFonts w:ascii="Calibri" w:hAnsi="Calibri"/>
                <w:spacing w:val="-14"/>
                <w:sz w:val="28"/>
              </w:rPr>
              <w:t> </w:t>
            </w:r>
            <w:r>
              <w:rPr>
                <w:rFonts w:ascii="Calibri" w:hAnsi="Calibri"/>
                <w:spacing w:val="-2"/>
                <w:sz w:val="20"/>
              </w:rPr>
              <w:t>Benchmark</w:t>
            </w:r>
            <w:r>
              <w:rPr>
                <w:rFonts w:ascii="Calibri" w:hAnsi="Calibri"/>
                <w:spacing w:val="4"/>
                <w:sz w:val="20"/>
              </w:rPr>
              <w:t> </w:t>
            </w:r>
            <w:r>
              <w:rPr>
                <w:rFonts w:ascii="Calibri" w:hAnsi="Calibri"/>
                <w:spacing w:val="-5"/>
                <w:sz w:val="20"/>
              </w:rPr>
              <w:t>#3</w:t>
            </w:r>
          </w:p>
        </w:tc>
        <w:tc>
          <w:tcPr>
            <w:tcW w:w="1897" w:type="dxa"/>
          </w:tcPr>
          <w:p>
            <w:pPr>
              <w:pStyle w:val="TableParagraph"/>
              <w:spacing w:line="341" w:lineRule="exact"/>
              <w:ind w:left="111"/>
              <w:rPr>
                <w:rFonts w:ascii="Calibri" w:hAnsi="Calibri"/>
                <w:sz w:val="20"/>
              </w:rPr>
            </w:pPr>
            <w:r>
              <w:rPr>
                <w:rFonts w:ascii="Calibri" w:hAnsi="Calibri"/>
                <w:spacing w:val="-2"/>
                <w:sz w:val="28"/>
              </w:rPr>
              <w:t>□</w:t>
            </w:r>
            <w:r>
              <w:rPr>
                <w:rFonts w:ascii="Calibri" w:hAnsi="Calibri"/>
                <w:spacing w:val="-14"/>
                <w:sz w:val="28"/>
              </w:rPr>
              <w:t> </w:t>
            </w:r>
            <w:r>
              <w:rPr>
                <w:rFonts w:ascii="Calibri" w:hAnsi="Calibri"/>
                <w:spacing w:val="-2"/>
                <w:sz w:val="20"/>
              </w:rPr>
              <w:t>Benchmark</w:t>
            </w:r>
            <w:r>
              <w:rPr>
                <w:rFonts w:ascii="Calibri" w:hAnsi="Calibri"/>
                <w:spacing w:val="4"/>
                <w:sz w:val="20"/>
              </w:rPr>
              <w:t> </w:t>
            </w:r>
            <w:r>
              <w:rPr>
                <w:rFonts w:ascii="Calibri" w:hAnsi="Calibri"/>
                <w:spacing w:val="-5"/>
                <w:sz w:val="20"/>
              </w:rPr>
              <w:t>#4</w:t>
            </w:r>
          </w:p>
          <w:p>
            <w:pPr>
              <w:pStyle w:val="TableParagraph"/>
              <w:ind w:left="202"/>
              <w:rPr>
                <w:rFonts w:ascii="Calibri"/>
                <w:i/>
                <w:sz w:val="18"/>
              </w:rPr>
            </w:pPr>
            <w:r>
              <w:rPr>
                <w:rFonts w:ascii="Calibri"/>
                <w:i/>
                <w:sz w:val="18"/>
              </w:rPr>
              <w:t>(Approved</w:t>
            </w:r>
            <w:r>
              <w:rPr>
                <w:rFonts w:ascii="Calibri"/>
                <w:i/>
                <w:spacing w:val="-3"/>
                <w:sz w:val="18"/>
              </w:rPr>
              <w:t> </w:t>
            </w:r>
            <w:r>
              <w:rPr>
                <w:rFonts w:ascii="Calibri"/>
                <w:i/>
                <w:sz w:val="18"/>
              </w:rPr>
              <w:t>by</w:t>
            </w:r>
            <w:r>
              <w:rPr>
                <w:rFonts w:ascii="Calibri"/>
                <w:i/>
                <w:spacing w:val="1"/>
                <w:sz w:val="18"/>
              </w:rPr>
              <w:t> </w:t>
            </w:r>
            <w:r>
              <w:rPr>
                <w:rFonts w:ascii="Calibri"/>
                <w:i/>
                <w:spacing w:val="-2"/>
                <w:sz w:val="18"/>
              </w:rPr>
              <w:t>VESMP)</w:t>
            </w:r>
          </w:p>
        </w:tc>
      </w:tr>
      <w:tr>
        <w:trPr>
          <w:trHeight w:val="976" w:hRule="atLeast"/>
        </w:trPr>
        <w:tc>
          <w:tcPr>
            <w:tcW w:w="3323" w:type="dxa"/>
          </w:tcPr>
          <w:p>
            <w:pPr>
              <w:pStyle w:val="TableParagraph"/>
              <w:spacing w:before="1"/>
              <w:ind w:left="108" w:right="78"/>
              <w:rPr>
                <w:rFonts w:ascii="Calibri"/>
                <w:b/>
                <w:sz w:val="20"/>
              </w:rPr>
            </w:pPr>
            <w:r>
              <w:rPr>
                <w:rFonts w:ascii="Calibri"/>
                <w:b/>
                <w:sz w:val="20"/>
              </w:rPr>
              <w:t>Sample</w:t>
            </w:r>
            <w:r>
              <w:rPr>
                <w:rFonts w:ascii="Calibri"/>
                <w:b/>
                <w:spacing w:val="-12"/>
                <w:sz w:val="20"/>
              </w:rPr>
              <w:t> </w:t>
            </w:r>
            <w:r>
              <w:rPr>
                <w:rFonts w:ascii="Calibri"/>
                <w:b/>
                <w:sz w:val="20"/>
              </w:rPr>
              <w:t>Timing</w:t>
            </w:r>
            <w:r>
              <w:rPr>
                <w:rFonts w:ascii="Calibri"/>
                <w:b/>
                <w:spacing w:val="-11"/>
                <w:sz w:val="20"/>
              </w:rPr>
              <w:t> </w:t>
            </w:r>
            <w:r>
              <w:rPr>
                <w:rFonts w:ascii="Calibri"/>
                <w:b/>
                <w:sz w:val="20"/>
              </w:rPr>
              <w:t>and</w:t>
            </w:r>
            <w:r>
              <w:rPr>
                <w:rFonts w:ascii="Calibri"/>
                <w:b/>
                <w:spacing w:val="-11"/>
                <w:sz w:val="20"/>
              </w:rPr>
              <w:t> </w:t>
            </w:r>
            <w:r>
              <w:rPr>
                <w:rFonts w:ascii="Calibri"/>
                <w:b/>
                <w:sz w:val="20"/>
              </w:rPr>
              <w:t>Discharge </w:t>
            </w:r>
            <w:r>
              <w:rPr>
                <w:rFonts w:ascii="Calibri"/>
                <w:b/>
                <w:spacing w:val="-2"/>
                <w:sz w:val="20"/>
              </w:rPr>
              <w:t>Location:</w:t>
            </w:r>
          </w:p>
        </w:tc>
        <w:tc>
          <w:tcPr>
            <w:tcW w:w="7027" w:type="dxa"/>
            <w:gridSpan w:val="7"/>
          </w:tcPr>
          <w:p>
            <w:pPr>
              <w:pStyle w:val="TableParagraph"/>
              <w:rPr>
                <w:sz w:val="18"/>
              </w:rPr>
            </w:pPr>
          </w:p>
        </w:tc>
      </w:tr>
      <w:tr>
        <w:trPr>
          <w:trHeight w:val="976" w:hRule="atLeast"/>
        </w:trPr>
        <w:tc>
          <w:tcPr>
            <w:tcW w:w="3323" w:type="dxa"/>
          </w:tcPr>
          <w:p>
            <w:pPr>
              <w:pStyle w:val="TableParagraph"/>
              <w:spacing w:before="1"/>
              <w:ind w:left="108"/>
              <w:rPr>
                <w:rFonts w:ascii="Calibri"/>
                <w:b/>
                <w:sz w:val="20"/>
              </w:rPr>
            </w:pPr>
            <w:r>
              <w:rPr>
                <w:rFonts w:ascii="Calibri"/>
                <w:b/>
                <w:sz w:val="20"/>
              </w:rPr>
              <w:t>Sample</w:t>
            </w:r>
            <w:r>
              <w:rPr>
                <w:rFonts w:ascii="Calibri"/>
                <w:b/>
                <w:spacing w:val="-5"/>
                <w:sz w:val="20"/>
              </w:rPr>
              <w:t> </w:t>
            </w:r>
            <w:r>
              <w:rPr>
                <w:rFonts w:ascii="Calibri"/>
                <w:b/>
                <w:sz w:val="20"/>
              </w:rPr>
              <w:t>Frequency</w:t>
            </w:r>
            <w:r>
              <w:rPr>
                <w:rFonts w:ascii="Calibri"/>
                <w:b/>
                <w:spacing w:val="-6"/>
                <w:sz w:val="20"/>
              </w:rPr>
              <w:t> </w:t>
            </w:r>
            <w:r>
              <w:rPr>
                <w:rFonts w:ascii="Calibri"/>
                <w:b/>
                <w:sz w:val="20"/>
              </w:rPr>
              <w:t>and</w:t>
            </w:r>
            <w:r>
              <w:rPr>
                <w:rFonts w:ascii="Calibri"/>
                <w:b/>
                <w:spacing w:val="-4"/>
                <w:sz w:val="20"/>
              </w:rPr>
              <w:t> </w:t>
            </w:r>
            <w:r>
              <w:rPr>
                <w:rFonts w:ascii="Calibri"/>
                <w:b/>
                <w:sz w:val="20"/>
              </w:rPr>
              <w:t>Test</w:t>
            </w:r>
            <w:r>
              <w:rPr>
                <w:rFonts w:ascii="Calibri"/>
                <w:b/>
                <w:spacing w:val="-7"/>
                <w:sz w:val="20"/>
              </w:rPr>
              <w:t> </w:t>
            </w:r>
            <w:r>
              <w:rPr>
                <w:rFonts w:ascii="Calibri"/>
                <w:b/>
                <w:spacing w:val="-2"/>
                <w:sz w:val="20"/>
              </w:rPr>
              <w:t>Method:</w:t>
            </w:r>
          </w:p>
        </w:tc>
        <w:tc>
          <w:tcPr>
            <w:tcW w:w="7027" w:type="dxa"/>
            <w:gridSpan w:val="7"/>
          </w:tcPr>
          <w:p>
            <w:pPr>
              <w:pStyle w:val="TableParagraph"/>
              <w:rPr>
                <w:sz w:val="18"/>
              </w:rPr>
            </w:pPr>
          </w:p>
        </w:tc>
      </w:tr>
      <w:tr>
        <w:trPr>
          <w:trHeight w:val="731" w:hRule="atLeast"/>
        </w:trPr>
        <w:tc>
          <w:tcPr>
            <w:tcW w:w="3323" w:type="dxa"/>
          </w:tcPr>
          <w:p>
            <w:pPr>
              <w:pStyle w:val="TableParagraph"/>
              <w:spacing w:before="1"/>
              <w:ind w:left="108"/>
              <w:rPr>
                <w:rFonts w:ascii="Calibri"/>
                <w:b/>
                <w:sz w:val="20"/>
              </w:rPr>
            </w:pPr>
            <w:r>
              <w:rPr>
                <w:rFonts w:ascii="Calibri"/>
                <w:b/>
                <w:sz w:val="20"/>
              </w:rPr>
              <w:t>Turbidity</w:t>
            </w:r>
            <w:r>
              <w:rPr>
                <w:rFonts w:ascii="Calibri"/>
                <w:b/>
                <w:spacing w:val="-7"/>
                <w:sz w:val="20"/>
              </w:rPr>
              <w:t> </w:t>
            </w:r>
            <w:r>
              <w:rPr>
                <w:rFonts w:ascii="Calibri"/>
                <w:b/>
                <w:sz w:val="20"/>
              </w:rPr>
              <w:t>Reading</w:t>
            </w:r>
            <w:r>
              <w:rPr>
                <w:rFonts w:ascii="Calibri"/>
                <w:b/>
                <w:spacing w:val="-6"/>
                <w:sz w:val="20"/>
              </w:rPr>
              <w:t> </w:t>
            </w:r>
            <w:r>
              <w:rPr>
                <w:rFonts w:ascii="Calibri"/>
                <w:b/>
                <w:sz w:val="20"/>
              </w:rPr>
              <w:t>(NTUs</w:t>
            </w:r>
            <w:r>
              <w:rPr>
                <w:rFonts w:ascii="Calibri"/>
                <w:b/>
                <w:spacing w:val="-5"/>
                <w:sz w:val="20"/>
              </w:rPr>
              <w:t> </w:t>
            </w:r>
            <w:r>
              <w:rPr>
                <w:rFonts w:ascii="Calibri"/>
                <w:b/>
                <w:sz w:val="20"/>
              </w:rPr>
              <w:t>or</w:t>
            </w:r>
            <w:r>
              <w:rPr>
                <w:rFonts w:ascii="Calibri"/>
                <w:b/>
                <w:spacing w:val="-5"/>
                <w:sz w:val="20"/>
              </w:rPr>
              <w:t> </w:t>
            </w:r>
            <w:r>
              <w:rPr>
                <w:rFonts w:ascii="Calibri"/>
                <w:b/>
                <w:spacing w:val="-2"/>
                <w:sz w:val="20"/>
              </w:rPr>
              <w:t>FTUs):</w:t>
            </w:r>
          </w:p>
        </w:tc>
        <w:tc>
          <w:tcPr>
            <w:tcW w:w="3422" w:type="dxa"/>
            <w:gridSpan w:val="4"/>
          </w:tcPr>
          <w:p>
            <w:pPr>
              <w:pStyle w:val="TableParagraph"/>
              <w:spacing w:before="1"/>
              <w:ind w:left="109"/>
              <w:rPr>
                <w:rFonts w:ascii="Calibri"/>
                <w:sz w:val="20"/>
              </w:rPr>
            </w:pPr>
            <w:r>
              <w:rPr>
                <w:rFonts w:ascii="Calibri"/>
                <w:sz w:val="20"/>
              </w:rPr>
              <w:t>Upstream</w:t>
            </w:r>
            <w:r>
              <w:rPr>
                <w:rFonts w:ascii="Calibri"/>
                <w:spacing w:val="-8"/>
                <w:sz w:val="20"/>
              </w:rPr>
              <w:t> </w:t>
            </w:r>
            <w:r>
              <w:rPr>
                <w:rFonts w:ascii="Calibri"/>
                <w:sz w:val="20"/>
              </w:rPr>
              <w:t>Sample</w:t>
            </w:r>
            <w:r>
              <w:rPr>
                <w:rFonts w:ascii="Calibri"/>
                <w:spacing w:val="-6"/>
                <w:sz w:val="20"/>
              </w:rPr>
              <w:t> </w:t>
            </w:r>
            <w:r>
              <w:rPr>
                <w:rFonts w:ascii="Calibri"/>
                <w:sz w:val="20"/>
              </w:rPr>
              <w:t>(if</w:t>
            </w:r>
            <w:r>
              <w:rPr>
                <w:rFonts w:ascii="Calibri"/>
                <w:spacing w:val="-7"/>
                <w:sz w:val="20"/>
              </w:rPr>
              <w:t> </w:t>
            </w:r>
            <w:r>
              <w:rPr>
                <w:rFonts w:ascii="Calibri"/>
                <w:spacing w:val="-2"/>
                <w:sz w:val="20"/>
              </w:rPr>
              <w:t>required):</w:t>
            </w:r>
          </w:p>
        </w:tc>
        <w:tc>
          <w:tcPr>
            <w:tcW w:w="3605" w:type="dxa"/>
            <w:gridSpan w:val="3"/>
          </w:tcPr>
          <w:p>
            <w:pPr>
              <w:pStyle w:val="TableParagraph"/>
              <w:spacing w:before="1"/>
              <w:ind w:left="107"/>
              <w:rPr>
                <w:rFonts w:ascii="Calibri"/>
                <w:sz w:val="20"/>
              </w:rPr>
            </w:pPr>
            <w:r>
              <w:rPr>
                <w:rFonts w:ascii="Calibri"/>
                <w:spacing w:val="-2"/>
                <w:sz w:val="20"/>
              </w:rPr>
              <w:t>Downstream</w:t>
            </w:r>
            <w:r>
              <w:rPr>
                <w:rFonts w:ascii="Calibri"/>
                <w:spacing w:val="6"/>
                <w:sz w:val="20"/>
              </w:rPr>
              <w:t> </w:t>
            </w:r>
            <w:r>
              <w:rPr>
                <w:rFonts w:ascii="Calibri"/>
                <w:spacing w:val="-2"/>
                <w:sz w:val="20"/>
              </w:rPr>
              <w:t>Sample:</w:t>
            </w:r>
          </w:p>
        </w:tc>
      </w:tr>
      <w:tr>
        <w:trPr>
          <w:trHeight w:val="782" w:hRule="atLeast"/>
        </w:trPr>
        <w:tc>
          <w:tcPr>
            <w:tcW w:w="3323" w:type="dxa"/>
          </w:tcPr>
          <w:p>
            <w:pPr>
              <w:pStyle w:val="TableParagraph"/>
              <w:spacing w:before="1"/>
              <w:ind w:left="108" w:right="78"/>
              <w:rPr>
                <w:rFonts w:ascii="Calibri"/>
                <w:b/>
                <w:sz w:val="20"/>
              </w:rPr>
            </w:pPr>
            <w:r>
              <w:rPr>
                <w:rFonts w:ascii="Calibri"/>
                <w:b/>
                <w:sz w:val="20"/>
              </w:rPr>
              <w:t>Weekly</w:t>
            </w:r>
            <w:r>
              <w:rPr>
                <w:rFonts w:ascii="Calibri"/>
                <w:b/>
                <w:spacing w:val="-8"/>
                <w:sz w:val="20"/>
              </w:rPr>
              <w:t> </w:t>
            </w:r>
            <w:r>
              <w:rPr>
                <w:rFonts w:ascii="Calibri"/>
                <w:b/>
                <w:sz w:val="20"/>
              </w:rPr>
              <w:t>Average</w:t>
            </w:r>
            <w:r>
              <w:rPr>
                <w:rFonts w:ascii="Calibri"/>
                <w:b/>
                <w:spacing w:val="-10"/>
                <w:sz w:val="20"/>
              </w:rPr>
              <w:t> </w:t>
            </w:r>
            <w:r>
              <w:rPr>
                <w:rFonts w:ascii="Calibri"/>
                <w:b/>
                <w:sz w:val="20"/>
              </w:rPr>
              <w:t>of</w:t>
            </w:r>
            <w:r>
              <w:rPr>
                <w:rFonts w:ascii="Calibri"/>
                <w:b/>
                <w:spacing w:val="-11"/>
                <w:sz w:val="20"/>
              </w:rPr>
              <w:t> </w:t>
            </w:r>
            <w:r>
              <w:rPr>
                <w:rFonts w:ascii="Calibri"/>
                <w:b/>
                <w:sz w:val="20"/>
              </w:rPr>
              <w:t>Turbidity</w:t>
            </w:r>
            <w:r>
              <w:rPr>
                <w:rFonts w:ascii="Calibri"/>
                <w:b/>
                <w:spacing w:val="-11"/>
                <w:sz w:val="20"/>
              </w:rPr>
              <w:t> </w:t>
            </w:r>
            <w:r>
              <w:rPr>
                <w:rFonts w:ascii="Calibri"/>
                <w:b/>
                <w:sz w:val="20"/>
              </w:rPr>
              <w:t>Reading (if applicable):</w:t>
            </w:r>
          </w:p>
        </w:tc>
        <w:tc>
          <w:tcPr>
            <w:tcW w:w="7027" w:type="dxa"/>
            <w:gridSpan w:val="7"/>
          </w:tcPr>
          <w:p>
            <w:pPr>
              <w:pStyle w:val="TableParagraph"/>
              <w:rPr>
                <w:sz w:val="18"/>
              </w:rPr>
            </w:pPr>
          </w:p>
        </w:tc>
      </w:tr>
      <w:tr>
        <w:trPr>
          <w:trHeight w:val="734" w:hRule="atLeast"/>
        </w:trPr>
        <w:tc>
          <w:tcPr>
            <w:tcW w:w="3323" w:type="dxa"/>
            <w:vMerge w:val="restart"/>
          </w:tcPr>
          <w:p>
            <w:pPr>
              <w:pStyle w:val="TableParagraph"/>
              <w:spacing w:before="1"/>
              <w:ind w:left="108"/>
              <w:rPr>
                <w:rFonts w:ascii="Calibri"/>
                <w:b/>
                <w:sz w:val="20"/>
              </w:rPr>
            </w:pPr>
            <w:r>
              <w:rPr>
                <w:rFonts w:ascii="Calibri"/>
                <w:b/>
                <w:sz w:val="20"/>
              </w:rPr>
              <w:t>Visual</w:t>
            </w:r>
            <w:r>
              <w:rPr>
                <w:rFonts w:ascii="Calibri"/>
                <w:b/>
                <w:spacing w:val="-9"/>
                <w:sz w:val="20"/>
              </w:rPr>
              <w:t> </w:t>
            </w:r>
            <w:r>
              <w:rPr>
                <w:rFonts w:ascii="Calibri"/>
                <w:b/>
                <w:spacing w:val="-2"/>
                <w:sz w:val="20"/>
              </w:rPr>
              <w:t>Monitoring:</w:t>
            </w:r>
          </w:p>
        </w:tc>
        <w:tc>
          <w:tcPr>
            <w:tcW w:w="2251" w:type="dxa"/>
            <w:gridSpan w:val="3"/>
          </w:tcPr>
          <w:p>
            <w:pPr>
              <w:pStyle w:val="TableParagraph"/>
              <w:spacing w:before="1"/>
              <w:ind w:left="109"/>
              <w:rPr>
                <w:rFonts w:ascii="Calibri"/>
                <w:sz w:val="20"/>
              </w:rPr>
            </w:pPr>
            <w:r>
              <w:rPr>
                <w:rFonts w:ascii="Calibri"/>
                <w:spacing w:val="-2"/>
                <w:sz w:val="20"/>
              </w:rPr>
              <w:t>Color:</w:t>
            </w:r>
          </w:p>
        </w:tc>
        <w:tc>
          <w:tcPr>
            <w:tcW w:w="2469" w:type="dxa"/>
            <w:gridSpan w:val="2"/>
          </w:tcPr>
          <w:p>
            <w:pPr>
              <w:pStyle w:val="TableParagraph"/>
              <w:spacing w:before="1"/>
              <w:ind w:left="107"/>
              <w:rPr>
                <w:rFonts w:ascii="Calibri"/>
                <w:sz w:val="20"/>
              </w:rPr>
            </w:pPr>
            <w:r>
              <w:rPr>
                <w:rFonts w:ascii="Calibri"/>
                <w:spacing w:val="-2"/>
                <w:sz w:val="20"/>
              </w:rPr>
              <w:t>Odor:</w:t>
            </w:r>
          </w:p>
        </w:tc>
        <w:tc>
          <w:tcPr>
            <w:tcW w:w="2307" w:type="dxa"/>
            <w:gridSpan w:val="2"/>
          </w:tcPr>
          <w:p>
            <w:pPr>
              <w:pStyle w:val="TableParagraph"/>
              <w:spacing w:before="1"/>
              <w:ind w:left="108"/>
              <w:rPr>
                <w:rFonts w:ascii="Calibri"/>
                <w:sz w:val="20"/>
              </w:rPr>
            </w:pPr>
            <w:r>
              <w:rPr>
                <w:rFonts w:ascii="Calibri"/>
                <w:spacing w:val="-2"/>
                <w:sz w:val="20"/>
              </w:rPr>
              <w:t>Foam:</w:t>
            </w:r>
          </w:p>
        </w:tc>
      </w:tr>
      <w:tr>
        <w:trPr>
          <w:trHeight w:val="976" w:hRule="atLeast"/>
        </w:trPr>
        <w:tc>
          <w:tcPr>
            <w:tcW w:w="3323" w:type="dxa"/>
            <w:vMerge/>
            <w:tcBorders>
              <w:top w:val="nil"/>
            </w:tcBorders>
          </w:tcPr>
          <w:p>
            <w:pPr>
              <w:rPr>
                <w:sz w:val="2"/>
                <w:szCs w:val="2"/>
              </w:rPr>
            </w:pPr>
          </w:p>
        </w:tc>
        <w:tc>
          <w:tcPr>
            <w:tcW w:w="2251" w:type="dxa"/>
            <w:gridSpan w:val="3"/>
          </w:tcPr>
          <w:p>
            <w:pPr>
              <w:pStyle w:val="TableParagraph"/>
              <w:spacing w:line="243" w:lineRule="exact"/>
              <w:ind w:left="109"/>
              <w:rPr>
                <w:rFonts w:ascii="Calibri"/>
                <w:sz w:val="20"/>
              </w:rPr>
            </w:pPr>
            <w:r>
              <w:rPr>
                <w:rFonts w:ascii="Calibri"/>
                <w:sz w:val="20"/>
              </w:rPr>
              <w:t>Oil</w:t>
            </w:r>
            <w:r>
              <w:rPr>
                <w:rFonts w:ascii="Calibri"/>
                <w:spacing w:val="-4"/>
                <w:sz w:val="20"/>
              </w:rPr>
              <w:t> </w:t>
            </w:r>
            <w:r>
              <w:rPr>
                <w:rFonts w:ascii="Calibri"/>
                <w:spacing w:val="-2"/>
                <w:sz w:val="20"/>
              </w:rPr>
              <w:t>Sheen:</w:t>
            </w:r>
          </w:p>
        </w:tc>
        <w:tc>
          <w:tcPr>
            <w:tcW w:w="4776" w:type="dxa"/>
            <w:gridSpan w:val="4"/>
          </w:tcPr>
          <w:p>
            <w:pPr>
              <w:pStyle w:val="TableParagraph"/>
              <w:spacing w:line="243" w:lineRule="exact"/>
              <w:ind w:left="107"/>
              <w:rPr>
                <w:rFonts w:ascii="Calibri"/>
                <w:sz w:val="20"/>
              </w:rPr>
            </w:pPr>
            <w:r>
              <w:rPr>
                <w:rFonts w:ascii="Calibri"/>
                <w:sz w:val="20"/>
              </w:rPr>
              <w:t>Other</w:t>
            </w:r>
            <w:r>
              <w:rPr>
                <w:rFonts w:ascii="Calibri"/>
                <w:spacing w:val="-8"/>
                <w:sz w:val="20"/>
              </w:rPr>
              <w:t> </w:t>
            </w:r>
            <w:r>
              <w:rPr>
                <w:rFonts w:ascii="Calibri"/>
                <w:sz w:val="20"/>
              </w:rPr>
              <w:t>indicators</w:t>
            </w:r>
            <w:r>
              <w:rPr>
                <w:rFonts w:ascii="Calibri"/>
                <w:spacing w:val="-7"/>
                <w:sz w:val="20"/>
              </w:rPr>
              <w:t> </w:t>
            </w:r>
            <w:r>
              <w:rPr>
                <w:rFonts w:ascii="Calibri"/>
                <w:sz w:val="20"/>
              </w:rPr>
              <w:t>of</w:t>
            </w:r>
            <w:r>
              <w:rPr>
                <w:rFonts w:ascii="Calibri"/>
                <w:spacing w:val="-8"/>
                <w:sz w:val="20"/>
              </w:rPr>
              <w:t> </w:t>
            </w:r>
            <w:r>
              <w:rPr>
                <w:rFonts w:ascii="Calibri"/>
                <w:sz w:val="20"/>
              </w:rPr>
              <w:t>stormwater</w:t>
            </w:r>
            <w:r>
              <w:rPr>
                <w:rFonts w:ascii="Calibri"/>
                <w:spacing w:val="-7"/>
                <w:sz w:val="20"/>
              </w:rPr>
              <w:t> </w:t>
            </w:r>
            <w:r>
              <w:rPr>
                <w:rFonts w:ascii="Calibri"/>
                <w:spacing w:val="-2"/>
                <w:sz w:val="20"/>
              </w:rPr>
              <w:t>pollutants:</w:t>
            </w:r>
          </w:p>
        </w:tc>
      </w:tr>
      <w:tr>
        <w:trPr>
          <w:trHeight w:val="585" w:hRule="atLeast"/>
        </w:trPr>
        <w:tc>
          <w:tcPr>
            <w:tcW w:w="3323" w:type="dxa"/>
            <w:vMerge/>
            <w:tcBorders>
              <w:top w:val="nil"/>
            </w:tcBorders>
          </w:tcPr>
          <w:p>
            <w:pPr>
              <w:rPr>
                <w:sz w:val="2"/>
                <w:szCs w:val="2"/>
              </w:rPr>
            </w:pPr>
          </w:p>
        </w:tc>
        <w:tc>
          <w:tcPr>
            <w:tcW w:w="2251" w:type="dxa"/>
            <w:gridSpan w:val="3"/>
          </w:tcPr>
          <w:p>
            <w:pPr>
              <w:pStyle w:val="TableParagraph"/>
              <w:spacing w:line="244" w:lineRule="exact" w:before="1"/>
              <w:ind w:left="109"/>
              <w:rPr>
                <w:rFonts w:ascii="Calibri"/>
                <w:sz w:val="20"/>
              </w:rPr>
            </w:pPr>
            <w:r>
              <w:rPr>
                <w:rFonts w:ascii="Calibri"/>
                <w:sz w:val="20"/>
              </w:rPr>
              <w:t>Floating</w:t>
            </w:r>
            <w:r>
              <w:rPr>
                <w:rFonts w:ascii="Calibri"/>
                <w:spacing w:val="-10"/>
                <w:sz w:val="20"/>
              </w:rPr>
              <w:t> </w:t>
            </w:r>
            <w:r>
              <w:rPr>
                <w:rFonts w:ascii="Calibri"/>
                <w:spacing w:val="-2"/>
                <w:sz w:val="20"/>
              </w:rPr>
              <w:t>Solids:</w:t>
            </w:r>
          </w:p>
          <w:p>
            <w:pPr>
              <w:pStyle w:val="TableParagraph"/>
              <w:spacing w:line="320" w:lineRule="exact"/>
              <w:ind w:left="109"/>
              <w:rPr>
                <w:rFonts w:ascii="Calibri" w:hAnsi="Calibri"/>
                <w:sz w:val="20"/>
              </w:rPr>
            </w:pPr>
            <w:r>
              <w:rPr>
                <w:rFonts w:ascii="Calibri" w:hAnsi="Calibri"/>
                <w:sz w:val="28"/>
              </w:rPr>
              <w:t>□</w:t>
            </w:r>
            <w:r>
              <w:rPr>
                <w:rFonts w:ascii="Calibri" w:hAnsi="Calibri"/>
                <w:spacing w:val="26"/>
                <w:sz w:val="28"/>
              </w:rPr>
              <w:t> </w:t>
            </w:r>
            <w:r>
              <w:rPr>
                <w:rFonts w:ascii="Calibri" w:hAnsi="Calibri"/>
                <w:sz w:val="20"/>
              </w:rPr>
              <w:t>Yes</w:t>
            </w:r>
            <w:r>
              <w:rPr>
                <w:rFonts w:ascii="Calibri" w:hAnsi="Calibri"/>
                <w:spacing w:val="45"/>
                <w:sz w:val="20"/>
              </w:rPr>
              <w:t>  </w:t>
            </w:r>
            <w:r>
              <w:rPr>
                <w:rFonts w:ascii="Calibri" w:hAnsi="Calibri"/>
                <w:sz w:val="28"/>
              </w:rPr>
              <w:t>□</w:t>
            </w:r>
            <w:r>
              <w:rPr>
                <w:rFonts w:ascii="Calibri" w:hAnsi="Calibri"/>
                <w:spacing w:val="25"/>
                <w:sz w:val="28"/>
              </w:rPr>
              <w:t> </w:t>
            </w:r>
            <w:r>
              <w:rPr>
                <w:rFonts w:ascii="Calibri" w:hAnsi="Calibri"/>
                <w:spacing w:val="-5"/>
                <w:sz w:val="20"/>
              </w:rPr>
              <w:t>No</w:t>
            </w:r>
          </w:p>
        </w:tc>
        <w:tc>
          <w:tcPr>
            <w:tcW w:w="2469" w:type="dxa"/>
            <w:gridSpan w:val="2"/>
          </w:tcPr>
          <w:p>
            <w:pPr>
              <w:pStyle w:val="TableParagraph"/>
              <w:spacing w:line="244" w:lineRule="exact" w:before="1"/>
              <w:ind w:left="107"/>
              <w:rPr>
                <w:rFonts w:ascii="Calibri"/>
                <w:sz w:val="20"/>
              </w:rPr>
            </w:pPr>
            <w:r>
              <w:rPr>
                <w:rFonts w:ascii="Calibri"/>
                <w:sz w:val="20"/>
              </w:rPr>
              <w:t>Suspended</w:t>
            </w:r>
            <w:r>
              <w:rPr>
                <w:rFonts w:ascii="Calibri"/>
                <w:spacing w:val="-7"/>
                <w:sz w:val="20"/>
              </w:rPr>
              <w:t> </w:t>
            </w:r>
            <w:r>
              <w:rPr>
                <w:rFonts w:ascii="Calibri"/>
                <w:spacing w:val="-2"/>
                <w:sz w:val="20"/>
              </w:rPr>
              <w:t>Solids:</w:t>
            </w:r>
          </w:p>
          <w:p>
            <w:pPr>
              <w:pStyle w:val="TableParagraph"/>
              <w:spacing w:line="320" w:lineRule="exact"/>
              <w:ind w:left="107"/>
              <w:rPr>
                <w:rFonts w:ascii="Calibri" w:hAnsi="Calibri"/>
                <w:sz w:val="20"/>
              </w:rPr>
            </w:pPr>
            <w:r>
              <w:rPr>
                <w:rFonts w:ascii="Calibri" w:hAnsi="Calibri"/>
                <w:sz w:val="28"/>
              </w:rPr>
              <w:t>□</w:t>
            </w:r>
            <w:r>
              <w:rPr>
                <w:rFonts w:ascii="Calibri" w:hAnsi="Calibri"/>
                <w:spacing w:val="26"/>
                <w:sz w:val="28"/>
              </w:rPr>
              <w:t> </w:t>
            </w:r>
            <w:r>
              <w:rPr>
                <w:rFonts w:ascii="Calibri" w:hAnsi="Calibri"/>
                <w:sz w:val="20"/>
              </w:rPr>
              <w:t>Yes</w:t>
            </w:r>
            <w:r>
              <w:rPr>
                <w:rFonts w:ascii="Calibri" w:hAnsi="Calibri"/>
                <w:spacing w:val="45"/>
                <w:sz w:val="20"/>
              </w:rPr>
              <w:t>  </w:t>
            </w:r>
            <w:r>
              <w:rPr>
                <w:rFonts w:ascii="Calibri" w:hAnsi="Calibri"/>
                <w:sz w:val="28"/>
              </w:rPr>
              <w:t>□</w:t>
            </w:r>
            <w:r>
              <w:rPr>
                <w:rFonts w:ascii="Calibri" w:hAnsi="Calibri"/>
                <w:spacing w:val="25"/>
                <w:sz w:val="28"/>
              </w:rPr>
              <w:t> </w:t>
            </w:r>
            <w:r>
              <w:rPr>
                <w:rFonts w:ascii="Calibri" w:hAnsi="Calibri"/>
                <w:spacing w:val="-5"/>
                <w:sz w:val="20"/>
              </w:rPr>
              <w:t>No</w:t>
            </w:r>
          </w:p>
        </w:tc>
        <w:tc>
          <w:tcPr>
            <w:tcW w:w="2307" w:type="dxa"/>
            <w:gridSpan w:val="2"/>
          </w:tcPr>
          <w:p>
            <w:pPr>
              <w:pStyle w:val="TableParagraph"/>
              <w:spacing w:line="244" w:lineRule="exact" w:before="1"/>
              <w:ind w:left="108"/>
              <w:rPr>
                <w:rFonts w:ascii="Calibri"/>
                <w:sz w:val="20"/>
              </w:rPr>
            </w:pPr>
            <w:r>
              <w:rPr>
                <w:rFonts w:ascii="Calibri"/>
                <w:sz w:val="20"/>
              </w:rPr>
              <w:t>Settled</w:t>
            </w:r>
            <w:r>
              <w:rPr>
                <w:rFonts w:ascii="Calibri"/>
                <w:spacing w:val="-9"/>
                <w:sz w:val="20"/>
              </w:rPr>
              <w:t> </w:t>
            </w:r>
            <w:r>
              <w:rPr>
                <w:rFonts w:ascii="Calibri"/>
                <w:spacing w:val="-2"/>
                <w:sz w:val="20"/>
              </w:rPr>
              <w:t>Solids:</w:t>
            </w:r>
          </w:p>
          <w:p>
            <w:pPr>
              <w:pStyle w:val="TableParagraph"/>
              <w:spacing w:line="320" w:lineRule="exact"/>
              <w:ind w:left="108"/>
              <w:rPr>
                <w:rFonts w:ascii="Calibri" w:hAnsi="Calibri"/>
                <w:sz w:val="20"/>
              </w:rPr>
            </w:pPr>
            <w:r>
              <w:rPr>
                <w:rFonts w:ascii="Calibri" w:hAnsi="Calibri"/>
                <w:sz w:val="28"/>
              </w:rPr>
              <w:t>□</w:t>
            </w:r>
            <w:r>
              <w:rPr>
                <w:rFonts w:ascii="Calibri" w:hAnsi="Calibri"/>
                <w:spacing w:val="26"/>
                <w:sz w:val="28"/>
              </w:rPr>
              <w:t> </w:t>
            </w:r>
            <w:r>
              <w:rPr>
                <w:rFonts w:ascii="Calibri" w:hAnsi="Calibri"/>
                <w:sz w:val="20"/>
              </w:rPr>
              <w:t>Yes</w:t>
            </w:r>
            <w:r>
              <w:rPr>
                <w:rFonts w:ascii="Calibri" w:hAnsi="Calibri"/>
                <w:spacing w:val="45"/>
                <w:sz w:val="20"/>
              </w:rPr>
              <w:t>  </w:t>
            </w:r>
            <w:r>
              <w:rPr>
                <w:rFonts w:ascii="Calibri" w:hAnsi="Calibri"/>
                <w:sz w:val="28"/>
              </w:rPr>
              <w:t>□</w:t>
            </w:r>
            <w:r>
              <w:rPr>
                <w:rFonts w:ascii="Calibri" w:hAnsi="Calibri"/>
                <w:spacing w:val="25"/>
                <w:sz w:val="28"/>
              </w:rPr>
              <w:t> </w:t>
            </w:r>
            <w:r>
              <w:rPr>
                <w:rFonts w:ascii="Calibri" w:hAnsi="Calibri"/>
                <w:spacing w:val="-5"/>
                <w:sz w:val="20"/>
              </w:rPr>
              <w:t>No</w:t>
            </w:r>
          </w:p>
        </w:tc>
      </w:tr>
      <w:tr>
        <w:trPr>
          <w:trHeight w:val="1708" w:hRule="atLeast"/>
        </w:trPr>
        <w:tc>
          <w:tcPr>
            <w:tcW w:w="3323" w:type="dxa"/>
          </w:tcPr>
          <w:p>
            <w:pPr>
              <w:pStyle w:val="TableParagraph"/>
              <w:spacing w:before="1"/>
              <w:ind w:left="108"/>
              <w:rPr>
                <w:rFonts w:ascii="Calibri"/>
                <w:b/>
                <w:sz w:val="20"/>
              </w:rPr>
            </w:pPr>
            <w:r>
              <w:rPr>
                <w:rFonts w:ascii="Calibri"/>
                <w:b/>
                <w:sz w:val="20"/>
              </w:rPr>
              <w:t>Corrective</w:t>
            </w:r>
            <w:r>
              <w:rPr>
                <w:rFonts w:ascii="Calibri"/>
                <w:b/>
                <w:spacing w:val="-7"/>
                <w:sz w:val="20"/>
              </w:rPr>
              <w:t> </w:t>
            </w:r>
            <w:r>
              <w:rPr>
                <w:rFonts w:ascii="Calibri"/>
                <w:b/>
                <w:sz w:val="20"/>
              </w:rPr>
              <w:t>Action</w:t>
            </w:r>
            <w:r>
              <w:rPr>
                <w:rFonts w:ascii="Calibri"/>
                <w:b/>
                <w:spacing w:val="-6"/>
                <w:sz w:val="20"/>
              </w:rPr>
              <w:t> </w:t>
            </w:r>
            <w:r>
              <w:rPr>
                <w:rFonts w:ascii="Calibri"/>
                <w:b/>
                <w:sz w:val="20"/>
              </w:rPr>
              <w:t>(if</w:t>
            </w:r>
            <w:r>
              <w:rPr>
                <w:rFonts w:ascii="Calibri"/>
                <w:b/>
                <w:spacing w:val="-7"/>
                <w:sz w:val="20"/>
              </w:rPr>
              <w:t> </w:t>
            </w:r>
            <w:r>
              <w:rPr>
                <w:rFonts w:ascii="Calibri"/>
                <w:b/>
                <w:spacing w:val="-2"/>
                <w:sz w:val="20"/>
              </w:rPr>
              <w:t>applicable):</w:t>
            </w:r>
          </w:p>
        </w:tc>
        <w:tc>
          <w:tcPr>
            <w:tcW w:w="7027" w:type="dxa"/>
            <w:gridSpan w:val="7"/>
          </w:tcPr>
          <w:p>
            <w:pPr>
              <w:pStyle w:val="TableParagraph"/>
              <w:rPr>
                <w:sz w:val="18"/>
              </w:rPr>
            </w:pPr>
          </w:p>
        </w:tc>
      </w:tr>
      <w:tr>
        <w:trPr>
          <w:trHeight w:val="244" w:hRule="atLeast"/>
        </w:trPr>
        <w:tc>
          <w:tcPr>
            <w:tcW w:w="10350" w:type="dxa"/>
            <w:gridSpan w:val="8"/>
            <w:tcBorders>
              <w:bottom w:val="single" w:sz="8" w:space="0" w:color="000000"/>
            </w:tcBorders>
            <w:shd w:val="clear" w:color="auto" w:fill="D9D9D9"/>
          </w:tcPr>
          <w:p>
            <w:pPr>
              <w:pStyle w:val="TableParagraph"/>
              <w:rPr>
                <w:sz w:val="16"/>
              </w:rPr>
            </w:pPr>
          </w:p>
        </w:tc>
      </w:tr>
      <w:tr>
        <w:trPr>
          <w:trHeight w:val="1230" w:hRule="atLeast"/>
        </w:trPr>
        <w:tc>
          <w:tcPr>
            <w:tcW w:w="10350" w:type="dxa"/>
            <w:gridSpan w:val="8"/>
            <w:tcBorders>
              <w:top w:val="single" w:sz="8" w:space="0" w:color="000000"/>
            </w:tcBorders>
          </w:tcPr>
          <w:p>
            <w:pPr>
              <w:pStyle w:val="TableParagraph"/>
              <w:spacing w:line="242" w:lineRule="exact" w:before="1"/>
              <w:ind w:left="11" w:right="7323"/>
              <w:jc w:val="center"/>
              <w:rPr>
                <w:rFonts w:ascii="Calibri"/>
                <w:b/>
                <w:sz w:val="20"/>
              </w:rPr>
            </w:pPr>
            <w:r>
              <w:rPr>
                <w:rFonts w:ascii="Calibri"/>
                <w:b/>
                <w:sz w:val="20"/>
              </w:rPr>
              <w:t>Turbidity</w:t>
            </w:r>
            <w:r>
              <w:rPr>
                <w:rFonts w:ascii="Calibri"/>
                <w:b/>
                <w:spacing w:val="-8"/>
                <w:sz w:val="20"/>
              </w:rPr>
              <w:t> </w:t>
            </w:r>
            <w:r>
              <w:rPr>
                <w:rFonts w:ascii="Calibri"/>
                <w:b/>
                <w:sz w:val="20"/>
              </w:rPr>
              <w:t>Monitoring</w:t>
            </w:r>
            <w:r>
              <w:rPr>
                <w:rFonts w:ascii="Calibri"/>
                <w:b/>
                <w:spacing w:val="-8"/>
                <w:sz w:val="20"/>
              </w:rPr>
              <w:t> </w:t>
            </w:r>
            <w:r>
              <w:rPr>
                <w:rFonts w:ascii="Calibri"/>
                <w:b/>
                <w:spacing w:val="-2"/>
                <w:sz w:val="20"/>
              </w:rPr>
              <w:t>Certification</w:t>
            </w:r>
          </w:p>
          <w:p>
            <w:pPr>
              <w:pStyle w:val="TableParagraph"/>
              <w:ind w:left="250" w:right="237" w:hanging="4"/>
              <w:jc w:val="center"/>
              <w:rPr>
                <w:rFonts w:ascii="Calibri"/>
                <w:i/>
                <w:sz w:val="16"/>
              </w:rPr>
            </w:pPr>
            <w:r>
              <w:rPr>
                <w:rFonts w:ascii="Calibri"/>
                <w:i/>
                <w:w w:val="105"/>
                <w:sz w:val="16"/>
              </w:rPr>
              <w:t>"I certify under penalty of law that I have read and understand this document and that this document and all attachments were prepared in</w:t>
            </w:r>
            <w:r>
              <w:rPr>
                <w:rFonts w:ascii="Calibri"/>
                <w:i/>
                <w:spacing w:val="40"/>
                <w:w w:val="105"/>
                <w:sz w:val="16"/>
              </w:rPr>
              <w:t> </w:t>
            </w:r>
            <w:r>
              <w:rPr>
                <w:rFonts w:ascii="Calibri"/>
                <w:i/>
                <w:w w:val="105"/>
                <w:sz w:val="16"/>
              </w:rPr>
              <w:t>accordance with a system</w:t>
            </w:r>
            <w:r>
              <w:rPr>
                <w:rFonts w:ascii="Calibri"/>
                <w:i/>
                <w:spacing w:val="-1"/>
                <w:w w:val="105"/>
                <w:sz w:val="16"/>
              </w:rPr>
              <w:t> </w:t>
            </w:r>
            <w:r>
              <w:rPr>
                <w:rFonts w:ascii="Calibri"/>
                <w:i/>
                <w:w w:val="105"/>
                <w:sz w:val="16"/>
              </w:rPr>
              <w:t>designed to assure that qualified personnel</w:t>
            </w:r>
            <w:r>
              <w:rPr>
                <w:rFonts w:ascii="Calibri"/>
                <w:i/>
                <w:spacing w:val="-2"/>
                <w:w w:val="105"/>
                <w:sz w:val="16"/>
              </w:rPr>
              <w:t> </w:t>
            </w:r>
            <w:r>
              <w:rPr>
                <w:rFonts w:ascii="Calibri"/>
                <w:i/>
                <w:w w:val="105"/>
                <w:sz w:val="16"/>
              </w:rPr>
              <w:t>properly gathered and evaluated the information</w:t>
            </w:r>
            <w:r>
              <w:rPr>
                <w:rFonts w:ascii="Calibri"/>
                <w:i/>
                <w:spacing w:val="-3"/>
                <w:w w:val="105"/>
                <w:sz w:val="16"/>
              </w:rPr>
              <w:t> </w:t>
            </w:r>
            <w:r>
              <w:rPr>
                <w:rFonts w:ascii="Calibri"/>
                <w:i/>
                <w:w w:val="105"/>
                <w:sz w:val="16"/>
              </w:rPr>
              <w:t>submitted.</w:t>
            </w:r>
            <w:r>
              <w:rPr>
                <w:rFonts w:ascii="Calibri"/>
                <w:i/>
                <w:spacing w:val="-1"/>
                <w:w w:val="105"/>
                <w:sz w:val="16"/>
              </w:rPr>
              <w:t> </w:t>
            </w:r>
            <w:r>
              <w:rPr>
                <w:rFonts w:ascii="Calibri"/>
                <w:i/>
                <w:w w:val="105"/>
                <w:sz w:val="16"/>
              </w:rPr>
              <w:t>Based on my</w:t>
            </w:r>
            <w:r>
              <w:rPr>
                <w:rFonts w:ascii="Calibri"/>
                <w:i/>
                <w:spacing w:val="40"/>
                <w:w w:val="105"/>
                <w:sz w:val="16"/>
              </w:rPr>
              <w:t> </w:t>
            </w:r>
            <w:r>
              <w:rPr>
                <w:rFonts w:ascii="Calibri"/>
                <w:i/>
                <w:w w:val="105"/>
                <w:sz w:val="16"/>
              </w:rPr>
              <w:t>inquiry of the person or persons who manage the system, or those persons directly responsible for gathering the information, the information</w:t>
            </w:r>
            <w:r>
              <w:rPr>
                <w:rFonts w:ascii="Calibri"/>
                <w:i/>
                <w:spacing w:val="40"/>
                <w:w w:val="105"/>
                <w:sz w:val="16"/>
              </w:rPr>
              <w:t> </w:t>
            </w:r>
            <w:r>
              <w:rPr>
                <w:rFonts w:ascii="Calibri"/>
                <w:i/>
                <w:w w:val="105"/>
                <w:sz w:val="16"/>
              </w:rPr>
              <w:t>submitted is,</w:t>
            </w:r>
            <w:r>
              <w:rPr>
                <w:rFonts w:ascii="Calibri"/>
                <w:i/>
                <w:spacing w:val="-3"/>
                <w:w w:val="105"/>
                <w:sz w:val="16"/>
              </w:rPr>
              <w:t> </w:t>
            </w:r>
            <w:r>
              <w:rPr>
                <w:rFonts w:ascii="Calibri"/>
                <w:i/>
                <w:w w:val="105"/>
                <w:sz w:val="16"/>
              </w:rPr>
              <w:t>to</w:t>
            </w:r>
            <w:r>
              <w:rPr>
                <w:rFonts w:ascii="Calibri"/>
                <w:i/>
                <w:spacing w:val="-1"/>
                <w:w w:val="105"/>
                <w:sz w:val="16"/>
              </w:rPr>
              <w:t> </w:t>
            </w:r>
            <w:r>
              <w:rPr>
                <w:rFonts w:ascii="Calibri"/>
                <w:i/>
                <w:w w:val="105"/>
                <w:sz w:val="16"/>
              </w:rPr>
              <w:t>the best</w:t>
            </w:r>
            <w:r>
              <w:rPr>
                <w:rFonts w:ascii="Calibri"/>
                <w:i/>
                <w:spacing w:val="-1"/>
                <w:w w:val="105"/>
                <w:sz w:val="16"/>
              </w:rPr>
              <w:t> </w:t>
            </w:r>
            <w:r>
              <w:rPr>
                <w:rFonts w:ascii="Calibri"/>
                <w:i/>
                <w:w w:val="105"/>
                <w:sz w:val="16"/>
              </w:rPr>
              <w:t>of my</w:t>
            </w:r>
            <w:r>
              <w:rPr>
                <w:rFonts w:ascii="Calibri"/>
                <w:i/>
                <w:spacing w:val="-3"/>
                <w:w w:val="105"/>
                <w:sz w:val="16"/>
              </w:rPr>
              <w:t> </w:t>
            </w:r>
            <w:r>
              <w:rPr>
                <w:rFonts w:ascii="Calibri"/>
                <w:i/>
                <w:w w:val="105"/>
                <w:sz w:val="16"/>
              </w:rPr>
              <w:t>knowledge and belief, true,</w:t>
            </w:r>
            <w:r>
              <w:rPr>
                <w:rFonts w:ascii="Calibri"/>
                <w:i/>
                <w:spacing w:val="-3"/>
                <w:w w:val="105"/>
                <w:sz w:val="16"/>
              </w:rPr>
              <w:t> </w:t>
            </w:r>
            <w:r>
              <w:rPr>
                <w:rFonts w:ascii="Calibri"/>
                <w:i/>
                <w:w w:val="105"/>
                <w:sz w:val="16"/>
              </w:rPr>
              <w:t>accurate,</w:t>
            </w:r>
            <w:r>
              <w:rPr>
                <w:rFonts w:ascii="Calibri"/>
                <w:i/>
                <w:spacing w:val="-3"/>
                <w:w w:val="105"/>
                <w:sz w:val="16"/>
              </w:rPr>
              <w:t> </w:t>
            </w:r>
            <w:r>
              <w:rPr>
                <w:rFonts w:ascii="Calibri"/>
                <w:i/>
                <w:w w:val="105"/>
                <w:sz w:val="16"/>
              </w:rPr>
              <w:t>and complete. I</w:t>
            </w:r>
            <w:r>
              <w:rPr>
                <w:rFonts w:ascii="Calibri"/>
                <w:i/>
                <w:spacing w:val="-4"/>
                <w:w w:val="105"/>
                <w:sz w:val="16"/>
              </w:rPr>
              <w:t> </w:t>
            </w:r>
            <w:r>
              <w:rPr>
                <w:rFonts w:ascii="Calibri"/>
                <w:i/>
                <w:w w:val="105"/>
                <w:sz w:val="16"/>
              </w:rPr>
              <w:t>am</w:t>
            </w:r>
            <w:r>
              <w:rPr>
                <w:rFonts w:ascii="Calibri"/>
                <w:i/>
                <w:spacing w:val="-3"/>
                <w:w w:val="105"/>
                <w:sz w:val="16"/>
              </w:rPr>
              <w:t> </w:t>
            </w:r>
            <w:r>
              <w:rPr>
                <w:rFonts w:ascii="Calibri"/>
                <w:i/>
                <w:w w:val="105"/>
                <w:sz w:val="16"/>
              </w:rPr>
              <w:t>aware that</w:t>
            </w:r>
            <w:r>
              <w:rPr>
                <w:rFonts w:ascii="Calibri"/>
                <w:i/>
                <w:spacing w:val="-1"/>
                <w:w w:val="105"/>
                <w:sz w:val="16"/>
              </w:rPr>
              <w:t> </w:t>
            </w:r>
            <w:r>
              <w:rPr>
                <w:rFonts w:ascii="Calibri"/>
                <w:i/>
                <w:w w:val="105"/>
                <w:sz w:val="16"/>
              </w:rPr>
              <w:t>there</w:t>
            </w:r>
            <w:r>
              <w:rPr>
                <w:rFonts w:ascii="Calibri"/>
                <w:i/>
                <w:spacing w:val="-4"/>
                <w:w w:val="105"/>
                <w:sz w:val="16"/>
              </w:rPr>
              <w:t> </w:t>
            </w:r>
            <w:r>
              <w:rPr>
                <w:rFonts w:ascii="Calibri"/>
                <w:i/>
                <w:w w:val="105"/>
                <w:sz w:val="16"/>
              </w:rPr>
              <w:t>are significant</w:t>
            </w:r>
            <w:r>
              <w:rPr>
                <w:rFonts w:ascii="Calibri"/>
                <w:i/>
                <w:spacing w:val="-1"/>
                <w:w w:val="105"/>
                <w:sz w:val="16"/>
              </w:rPr>
              <w:t> </w:t>
            </w:r>
            <w:r>
              <w:rPr>
                <w:rFonts w:ascii="Calibri"/>
                <w:i/>
                <w:w w:val="105"/>
                <w:sz w:val="16"/>
              </w:rPr>
              <w:t>penalties for</w:t>
            </w:r>
            <w:r>
              <w:rPr>
                <w:rFonts w:ascii="Calibri"/>
                <w:i/>
                <w:spacing w:val="-3"/>
                <w:w w:val="105"/>
                <w:sz w:val="16"/>
              </w:rPr>
              <w:t> </w:t>
            </w:r>
            <w:r>
              <w:rPr>
                <w:rFonts w:ascii="Calibri"/>
                <w:i/>
                <w:w w:val="105"/>
                <w:sz w:val="16"/>
              </w:rPr>
              <w:t>submitting</w:t>
            </w:r>
          </w:p>
          <w:p>
            <w:pPr>
              <w:pStyle w:val="TableParagraph"/>
              <w:spacing w:line="187" w:lineRule="exact"/>
              <w:ind w:left="11"/>
              <w:jc w:val="center"/>
              <w:rPr>
                <w:rFonts w:ascii="Calibri" w:hAnsi="Calibri"/>
                <w:i/>
                <w:sz w:val="16"/>
              </w:rPr>
            </w:pPr>
            <w:r>
              <w:rPr>
                <w:rFonts w:ascii="Calibri" w:hAnsi="Calibri"/>
                <w:i/>
                <w:w w:val="105"/>
                <w:sz w:val="16"/>
              </w:rPr>
              <w:t>false</w:t>
            </w:r>
            <w:r>
              <w:rPr>
                <w:rFonts w:ascii="Calibri" w:hAnsi="Calibri"/>
                <w:i/>
                <w:spacing w:val="-6"/>
                <w:w w:val="105"/>
                <w:sz w:val="16"/>
              </w:rPr>
              <w:t> </w:t>
            </w:r>
            <w:r>
              <w:rPr>
                <w:rFonts w:ascii="Calibri" w:hAnsi="Calibri"/>
                <w:i/>
                <w:w w:val="105"/>
                <w:sz w:val="16"/>
              </w:rPr>
              <w:t>information,</w:t>
            </w:r>
            <w:r>
              <w:rPr>
                <w:rFonts w:ascii="Calibri" w:hAnsi="Calibri"/>
                <w:i/>
                <w:spacing w:val="-7"/>
                <w:w w:val="105"/>
                <w:sz w:val="16"/>
              </w:rPr>
              <w:t> </w:t>
            </w:r>
            <w:r>
              <w:rPr>
                <w:rFonts w:ascii="Calibri" w:hAnsi="Calibri"/>
                <w:i/>
                <w:w w:val="105"/>
                <w:sz w:val="16"/>
              </w:rPr>
              <w:t>including</w:t>
            </w:r>
            <w:r>
              <w:rPr>
                <w:rFonts w:ascii="Calibri" w:hAnsi="Calibri"/>
                <w:i/>
                <w:spacing w:val="-8"/>
                <w:w w:val="105"/>
                <w:sz w:val="16"/>
              </w:rPr>
              <w:t> </w:t>
            </w:r>
            <w:r>
              <w:rPr>
                <w:rFonts w:ascii="Calibri" w:hAnsi="Calibri"/>
                <w:i/>
                <w:w w:val="105"/>
                <w:sz w:val="16"/>
              </w:rPr>
              <w:t>the</w:t>
            </w:r>
            <w:r>
              <w:rPr>
                <w:rFonts w:ascii="Calibri" w:hAnsi="Calibri"/>
                <w:i/>
                <w:spacing w:val="-5"/>
                <w:w w:val="105"/>
                <w:sz w:val="16"/>
              </w:rPr>
              <w:t> </w:t>
            </w:r>
            <w:r>
              <w:rPr>
                <w:rFonts w:ascii="Calibri" w:hAnsi="Calibri"/>
                <w:i/>
                <w:w w:val="105"/>
                <w:sz w:val="16"/>
              </w:rPr>
              <w:t>possibility</w:t>
            </w:r>
            <w:r>
              <w:rPr>
                <w:rFonts w:ascii="Calibri" w:hAnsi="Calibri"/>
                <w:i/>
                <w:spacing w:val="-5"/>
                <w:w w:val="105"/>
                <w:sz w:val="16"/>
              </w:rPr>
              <w:t> </w:t>
            </w:r>
            <w:r>
              <w:rPr>
                <w:rFonts w:ascii="Calibri" w:hAnsi="Calibri"/>
                <w:i/>
                <w:w w:val="105"/>
                <w:sz w:val="16"/>
              </w:rPr>
              <w:t>of</w:t>
            </w:r>
            <w:r>
              <w:rPr>
                <w:rFonts w:ascii="Calibri" w:hAnsi="Calibri"/>
                <w:i/>
                <w:spacing w:val="-5"/>
                <w:w w:val="105"/>
                <w:sz w:val="16"/>
              </w:rPr>
              <w:t> </w:t>
            </w:r>
            <w:r>
              <w:rPr>
                <w:rFonts w:ascii="Calibri" w:hAnsi="Calibri"/>
                <w:i/>
                <w:w w:val="105"/>
                <w:sz w:val="16"/>
              </w:rPr>
              <w:t>fine</w:t>
            </w:r>
            <w:r>
              <w:rPr>
                <w:rFonts w:ascii="Calibri" w:hAnsi="Calibri"/>
                <w:i/>
                <w:spacing w:val="-5"/>
                <w:w w:val="105"/>
                <w:sz w:val="16"/>
              </w:rPr>
              <w:t> </w:t>
            </w:r>
            <w:r>
              <w:rPr>
                <w:rFonts w:ascii="Calibri" w:hAnsi="Calibri"/>
                <w:i/>
                <w:w w:val="105"/>
                <w:sz w:val="16"/>
              </w:rPr>
              <w:t>and</w:t>
            </w:r>
            <w:r>
              <w:rPr>
                <w:rFonts w:ascii="Calibri" w:hAnsi="Calibri"/>
                <w:i/>
                <w:spacing w:val="-5"/>
                <w:w w:val="105"/>
                <w:sz w:val="16"/>
              </w:rPr>
              <w:t> </w:t>
            </w:r>
            <w:r>
              <w:rPr>
                <w:rFonts w:ascii="Calibri" w:hAnsi="Calibri"/>
                <w:i/>
                <w:w w:val="105"/>
                <w:sz w:val="16"/>
              </w:rPr>
              <w:t>imprisonment</w:t>
            </w:r>
            <w:r>
              <w:rPr>
                <w:rFonts w:ascii="Calibri" w:hAnsi="Calibri"/>
                <w:i/>
                <w:spacing w:val="-4"/>
                <w:w w:val="105"/>
                <w:sz w:val="16"/>
              </w:rPr>
              <w:t> </w:t>
            </w:r>
            <w:r>
              <w:rPr>
                <w:rFonts w:ascii="Calibri" w:hAnsi="Calibri"/>
                <w:i/>
                <w:w w:val="105"/>
                <w:sz w:val="16"/>
              </w:rPr>
              <w:t>for</w:t>
            </w:r>
            <w:r>
              <w:rPr>
                <w:rFonts w:ascii="Calibri" w:hAnsi="Calibri"/>
                <w:i/>
                <w:spacing w:val="-7"/>
                <w:w w:val="105"/>
                <w:sz w:val="16"/>
              </w:rPr>
              <w:t> </w:t>
            </w:r>
            <w:r>
              <w:rPr>
                <w:rFonts w:ascii="Calibri" w:hAnsi="Calibri"/>
                <w:i/>
                <w:w w:val="105"/>
                <w:sz w:val="16"/>
              </w:rPr>
              <w:t>knowing</w:t>
            </w:r>
            <w:r>
              <w:rPr>
                <w:rFonts w:ascii="Calibri" w:hAnsi="Calibri"/>
                <w:i/>
                <w:spacing w:val="-5"/>
                <w:w w:val="105"/>
                <w:sz w:val="16"/>
              </w:rPr>
              <w:t> </w:t>
            </w:r>
            <w:r>
              <w:rPr>
                <w:rFonts w:ascii="Calibri" w:hAnsi="Calibri"/>
                <w:i/>
                <w:spacing w:val="-2"/>
                <w:w w:val="105"/>
                <w:sz w:val="16"/>
              </w:rPr>
              <w:t>violations.”</w:t>
            </w:r>
          </w:p>
        </w:tc>
      </w:tr>
      <w:tr>
        <w:trPr>
          <w:trHeight w:val="976" w:hRule="atLeast"/>
        </w:trPr>
        <w:tc>
          <w:tcPr>
            <w:tcW w:w="5221" w:type="dxa"/>
            <w:gridSpan w:val="3"/>
          </w:tcPr>
          <w:p>
            <w:pPr>
              <w:pStyle w:val="TableParagraph"/>
              <w:spacing w:before="1"/>
              <w:ind w:left="108"/>
              <w:rPr>
                <w:rFonts w:ascii="Calibri"/>
                <w:b/>
                <w:sz w:val="20"/>
              </w:rPr>
            </w:pPr>
            <w:r>
              <w:rPr>
                <w:rFonts w:ascii="Calibri"/>
                <w:b/>
                <w:spacing w:val="-4"/>
                <w:sz w:val="20"/>
              </w:rPr>
              <w:t>Name:</w:t>
            </w:r>
          </w:p>
        </w:tc>
        <w:tc>
          <w:tcPr>
            <w:tcW w:w="5129" w:type="dxa"/>
            <w:gridSpan w:val="5"/>
          </w:tcPr>
          <w:p>
            <w:pPr>
              <w:pStyle w:val="TableParagraph"/>
              <w:spacing w:before="1"/>
              <w:ind w:left="107"/>
              <w:rPr>
                <w:rFonts w:ascii="Calibri"/>
                <w:b/>
                <w:sz w:val="20"/>
              </w:rPr>
            </w:pPr>
            <w:r>
              <w:rPr>
                <w:rFonts w:ascii="Calibri"/>
                <w:b/>
                <w:spacing w:val="-2"/>
                <w:sz w:val="20"/>
              </w:rPr>
              <w:t>Signature:</w:t>
            </w:r>
          </w:p>
        </w:tc>
      </w:tr>
      <w:tr>
        <w:trPr>
          <w:trHeight w:val="733" w:hRule="atLeast"/>
        </w:trPr>
        <w:tc>
          <w:tcPr>
            <w:tcW w:w="5221" w:type="dxa"/>
            <w:gridSpan w:val="3"/>
          </w:tcPr>
          <w:p>
            <w:pPr>
              <w:pStyle w:val="TableParagraph"/>
              <w:spacing w:before="1"/>
              <w:ind w:left="108"/>
              <w:rPr>
                <w:rFonts w:ascii="Calibri"/>
                <w:b/>
                <w:sz w:val="20"/>
              </w:rPr>
            </w:pPr>
            <w:r>
              <w:rPr>
                <w:rFonts w:ascii="Calibri"/>
                <w:b/>
                <w:spacing w:val="-2"/>
                <w:sz w:val="20"/>
              </w:rPr>
              <w:t>Date:</w:t>
            </w:r>
          </w:p>
        </w:tc>
        <w:tc>
          <w:tcPr>
            <w:tcW w:w="5129" w:type="dxa"/>
            <w:gridSpan w:val="5"/>
          </w:tcPr>
          <w:p>
            <w:pPr>
              <w:pStyle w:val="TableParagraph"/>
              <w:spacing w:before="1"/>
              <w:ind w:left="107"/>
              <w:rPr>
                <w:rFonts w:ascii="Calibri"/>
                <w:b/>
                <w:sz w:val="20"/>
              </w:rPr>
            </w:pPr>
            <w:r>
              <w:rPr>
                <w:rFonts w:ascii="Calibri"/>
                <w:b/>
                <w:spacing w:val="-2"/>
                <w:sz w:val="20"/>
              </w:rPr>
              <w:t>Phone:</w:t>
            </w:r>
          </w:p>
        </w:tc>
      </w:tr>
    </w:tbl>
    <w:sectPr>
      <w:pgSz w:w="12240" w:h="15840"/>
      <w:pgMar w:top="24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Arial Narrow">
    <w:altName w:val="Arial Narrow"/>
    <w:charset w:val="0"/>
    <w:family w:val="swiss"/>
    <w:pitch w:val="variable"/>
  </w:font>
  <w:font w:name="Cambria">
    <w:altName w:val="Cambria"/>
    <w:charset w:val="0"/>
    <w:family w:val="roman"/>
    <w:pitch w:val="variable"/>
  </w:font>
  <w:font w:name="Webdings">
    <w:altName w:val="Webdings"/>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08" w:hanging="315"/>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lowerLetter"/>
      <w:lvlText w:val="%2)"/>
      <w:lvlJc w:val="left"/>
      <w:pPr>
        <w:ind w:left="828" w:hanging="36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1534" w:hanging="361"/>
      </w:pPr>
      <w:rPr>
        <w:rFonts w:hint="default"/>
        <w:lang w:val="en-US" w:eastAsia="en-US" w:bidi="ar-SA"/>
      </w:rPr>
    </w:lvl>
    <w:lvl w:ilvl="3">
      <w:start w:val="0"/>
      <w:numFmt w:val="bullet"/>
      <w:lvlText w:val="•"/>
      <w:lvlJc w:val="left"/>
      <w:pPr>
        <w:ind w:left="2249" w:hanging="361"/>
      </w:pPr>
      <w:rPr>
        <w:rFonts w:hint="default"/>
        <w:lang w:val="en-US" w:eastAsia="en-US" w:bidi="ar-SA"/>
      </w:rPr>
    </w:lvl>
    <w:lvl w:ilvl="4">
      <w:start w:val="0"/>
      <w:numFmt w:val="bullet"/>
      <w:lvlText w:val="•"/>
      <w:lvlJc w:val="left"/>
      <w:pPr>
        <w:ind w:left="2964" w:hanging="361"/>
      </w:pPr>
      <w:rPr>
        <w:rFonts w:hint="default"/>
        <w:lang w:val="en-US" w:eastAsia="en-US" w:bidi="ar-SA"/>
      </w:rPr>
    </w:lvl>
    <w:lvl w:ilvl="5">
      <w:start w:val="0"/>
      <w:numFmt w:val="bullet"/>
      <w:lvlText w:val="•"/>
      <w:lvlJc w:val="left"/>
      <w:pPr>
        <w:ind w:left="3679" w:hanging="361"/>
      </w:pPr>
      <w:rPr>
        <w:rFonts w:hint="default"/>
        <w:lang w:val="en-US" w:eastAsia="en-US" w:bidi="ar-SA"/>
      </w:rPr>
    </w:lvl>
    <w:lvl w:ilvl="6">
      <w:start w:val="0"/>
      <w:numFmt w:val="bullet"/>
      <w:lvlText w:val="•"/>
      <w:lvlJc w:val="left"/>
      <w:pPr>
        <w:ind w:left="4394" w:hanging="361"/>
      </w:pPr>
      <w:rPr>
        <w:rFonts w:hint="default"/>
        <w:lang w:val="en-US" w:eastAsia="en-US" w:bidi="ar-SA"/>
      </w:rPr>
    </w:lvl>
    <w:lvl w:ilvl="7">
      <w:start w:val="0"/>
      <w:numFmt w:val="bullet"/>
      <w:lvlText w:val="•"/>
      <w:lvlJc w:val="left"/>
      <w:pPr>
        <w:ind w:left="5109" w:hanging="361"/>
      </w:pPr>
      <w:rPr>
        <w:rFonts w:hint="default"/>
        <w:lang w:val="en-US" w:eastAsia="en-US" w:bidi="ar-SA"/>
      </w:rPr>
    </w:lvl>
    <w:lvl w:ilvl="8">
      <w:start w:val="0"/>
      <w:numFmt w:val="bullet"/>
      <w:lvlText w:val="•"/>
      <w:lvlJc w:val="left"/>
      <w:pPr>
        <w:ind w:left="5824" w:hanging="361"/>
      </w:pPr>
      <w:rPr>
        <w:rFonts w:hint="default"/>
        <w:lang w:val="en-US" w:eastAsia="en-US" w:bidi="ar-SA"/>
      </w:rPr>
    </w:lvl>
  </w:abstractNum>
  <w:abstractNum w:abstractNumId="1">
    <w:multiLevelType w:val="hybridMultilevel"/>
    <w:lvl w:ilvl="0">
      <w:start w:val="1"/>
      <w:numFmt w:val="decimal"/>
      <w:lvlText w:val="%1)"/>
      <w:lvlJc w:val="left"/>
      <w:pPr>
        <w:ind w:left="827" w:hanging="420"/>
        <w:jc w:val="left"/>
      </w:pPr>
      <w:rPr>
        <w:rFonts w:hint="default" w:ascii="Times New Roman" w:hAnsi="Times New Roman" w:eastAsia="Times New Roman" w:cs="Times New Roman"/>
        <w:b w:val="0"/>
        <w:bCs w:val="0"/>
        <w:i/>
        <w:iCs/>
        <w:spacing w:val="0"/>
        <w:w w:val="100"/>
        <w:sz w:val="24"/>
        <w:szCs w:val="24"/>
        <w:lang w:val="en-US" w:eastAsia="en-US" w:bidi="ar-SA"/>
      </w:rPr>
    </w:lvl>
    <w:lvl w:ilvl="1">
      <w:start w:val="0"/>
      <w:numFmt w:val="bullet"/>
      <w:lvlText w:val="•"/>
      <w:lvlJc w:val="left"/>
      <w:pPr>
        <w:ind w:left="1811" w:hanging="420"/>
      </w:pPr>
      <w:rPr>
        <w:rFonts w:hint="default"/>
        <w:lang w:val="en-US" w:eastAsia="en-US" w:bidi="ar-SA"/>
      </w:rPr>
    </w:lvl>
    <w:lvl w:ilvl="2">
      <w:start w:val="0"/>
      <w:numFmt w:val="bullet"/>
      <w:lvlText w:val="•"/>
      <w:lvlJc w:val="left"/>
      <w:pPr>
        <w:ind w:left="2803" w:hanging="420"/>
      </w:pPr>
      <w:rPr>
        <w:rFonts w:hint="default"/>
        <w:lang w:val="en-US" w:eastAsia="en-US" w:bidi="ar-SA"/>
      </w:rPr>
    </w:lvl>
    <w:lvl w:ilvl="3">
      <w:start w:val="0"/>
      <w:numFmt w:val="bullet"/>
      <w:lvlText w:val="•"/>
      <w:lvlJc w:val="left"/>
      <w:pPr>
        <w:ind w:left="3795" w:hanging="420"/>
      </w:pPr>
      <w:rPr>
        <w:rFonts w:hint="default"/>
        <w:lang w:val="en-US" w:eastAsia="en-US" w:bidi="ar-SA"/>
      </w:rPr>
    </w:lvl>
    <w:lvl w:ilvl="4">
      <w:start w:val="0"/>
      <w:numFmt w:val="bullet"/>
      <w:lvlText w:val="•"/>
      <w:lvlJc w:val="left"/>
      <w:pPr>
        <w:ind w:left="4786" w:hanging="420"/>
      </w:pPr>
      <w:rPr>
        <w:rFonts w:hint="default"/>
        <w:lang w:val="en-US" w:eastAsia="en-US" w:bidi="ar-SA"/>
      </w:rPr>
    </w:lvl>
    <w:lvl w:ilvl="5">
      <w:start w:val="0"/>
      <w:numFmt w:val="bullet"/>
      <w:lvlText w:val="•"/>
      <w:lvlJc w:val="left"/>
      <w:pPr>
        <w:ind w:left="5778" w:hanging="420"/>
      </w:pPr>
      <w:rPr>
        <w:rFonts w:hint="default"/>
        <w:lang w:val="en-US" w:eastAsia="en-US" w:bidi="ar-SA"/>
      </w:rPr>
    </w:lvl>
    <w:lvl w:ilvl="6">
      <w:start w:val="0"/>
      <w:numFmt w:val="bullet"/>
      <w:lvlText w:val="•"/>
      <w:lvlJc w:val="left"/>
      <w:pPr>
        <w:ind w:left="6770" w:hanging="420"/>
      </w:pPr>
      <w:rPr>
        <w:rFonts w:hint="default"/>
        <w:lang w:val="en-US" w:eastAsia="en-US" w:bidi="ar-SA"/>
      </w:rPr>
    </w:lvl>
    <w:lvl w:ilvl="7">
      <w:start w:val="0"/>
      <w:numFmt w:val="bullet"/>
      <w:lvlText w:val="•"/>
      <w:lvlJc w:val="left"/>
      <w:pPr>
        <w:ind w:left="7761" w:hanging="420"/>
      </w:pPr>
      <w:rPr>
        <w:rFonts w:hint="default"/>
        <w:lang w:val="en-US" w:eastAsia="en-US" w:bidi="ar-SA"/>
      </w:rPr>
    </w:lvl>
    <w:lvl w:ilvl="8">
      <w:start w:val="0"/>
      <w:numFmt w:val="bullet"/>
      <w:lvlText w:val="•"/>
      <w:lvlJc w:val="left"/>
      <w:pPr>
        <w:ind w:left="8753" w:hanging="420"/>
      </w:pPr>
      <w:rPr>
        <w:rFonts w:hint="default"/>
        <w:lang w:val="en-US" w:eastAsia="en-US" w:bidi="ar-SA"/>
      </w:rPr>
    </w:lvl>
  </w:abstractNum>
  <w:abstractNum w:abstractNumId="0">
    <w:multiLevelType w:val="hybridMultilevel"/>
    <w:lvl w:ilvl="0">
      <w:start w:val="1"/>
      <w:numFmt w:val="decimal"/>
      <w:lvlText w:val="%1."/>
      <w:lvlJc w:val="left"/>
      <w:pPr>
        <w:ind w:left="1081" w:hanging="720"/>
        <w:jc w:val="left"/>
      </w:pPr>
      <w:rPr>
        <w:rFonts w:hint="default" w:ascii="Arial" w:hAnsi="Arial" w:eastAsia="Arial" w:cs="Arial"/>
        <w:b w:val="0"/>
        <w:bCs w:val="0"/>
        <w:i w:val="0"/>
        <w:iCs w:val="0"/>
        <w:spacing w:val="0"/>
        <w:w w:val="100"/>
        <w:sz w:val="24"/>
        <w:szCs w:val="24"/>
        <w:lang w:val="en-US" w:eastAsia="en-US" w:bidi="ar-SA"/>
      </w:rPr>
    </w:lvl>
    <w:lvl w:ilvl="1">
      <w:start w:val="1"/>
      <w:numFmt w:val="lowerLetter"/>
      <w:lvlText w:val="%2."/>
      <w:lvlJc w:val="left"/>
      <w:pPr>
        <w:ind w:left="1441" w:hanging="361"/>
        <w:jc w:val="left"/>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2280" w:hanging="361"/>
      </w:pPr>
      <w:rPr>
        <w:rFonts w:hint="default"/>
        <w:lang w:val="en-US" w:eastAsia="en-US" w:bidi="ar-SA"/>
      </w:rPr>
    </w:lvl>
    <w:lvl w:ilvl="3">
      <w:start w:val="0"/>
      <w:numFmt w:val="bullet"/>
      <w:lvlText w:val="•"/>
      <w:lvlJc w:val="left"/>
      <w:pPr>
        <w:ind w:left="3120" w:hanging="361"/>
      </w:pPr>
      <w:rPr>
        <w:rFonts w:hint="default"/>
        <w:lang w:val="en-US" w:eastAsia="en-US" w:bidi="ar-SA"/>
      </w:rPr>
    </w:lvl>
    <w:lvl w:ilvl="4">
      <w:start w:val="0"/>
      <w:numFmt w:val="bullet"/>
      <w:lvlText w:val="•"/>
      <w:lvlJc w:val="left"/>
      <w:pPr>
        <w:ind w:left="3960" w:hanging="361"/>
      </w:pPr>
      <w:rPr>
        <w:rFonts w:hint="default"/>
        <w:lang w:val="en-US" w:eastAsia="en-US" w:bidi="ar-SA"/>
      </w:rPr>
    </w:lvl>
    <w:lvl w:ilvl="5">
      <w:start w:val="0"/>
      <w:numFmt w:val="bullet"/>
      <w:lvlText w:val="•"/>
      <w:lvlJc w:val="left"/>
      <w:pPr>
        <w:ind w:left="4800" w:hanging="361"/>
      </w:pPr>
      <w:rPr>
        <w:rFonts w:hint="default"/>
        <w:lang w:val="en-US" w:eastAsia="en-US" w:bidi="ar-SA"/>
      </w:rPr>
    </w:lvl>
    <w:lvl w:ilvl="6">
      <w:start w:val="0"/>
      <w:numFmt w:val="bullet"/>
      <w:lvlText w:val="•"/>
      <w:lvlJc w:val="left"/>
      <w:pPr>
        <w:ind w:left="5640" w:hanging="361"/>
      </w:pPr>
      <w:rPr>
        <w:rFonts w:hint="default"/>
        <w:lang w:val="en-US" w:eastAsia="en-US" w:bidi="ar-SA"/>
      </w:rPr>
    </w:lvl>
    <w:lvl w:ilvl="7">
      <w:start w:val="0"/>
      <w:numFmt w:val="bullet"/>
      <w:lvlText w:val="•"/>
      <w:lvlJc w:val="left"/>
      <w:pPr>
        <w:ind w:left="6480" w:hanging="361"/>
      </w:pPr>
      <w:rPr>
        <w:rFonts w:hint="default"/>
        <w:lang w:val="en-US" w:eastAsia="en-US" w:bidi="ar-SA"/>
      </w:rPr>
    </w:lvl>
    <w:lvl w:ilvl="8">
      <w:start w:val="0"/>
      <w:numFmt w:val="bullet"/>
      <w:lvlText w:val="•"/>
      <w:lvlJc w:val="left"/>
      <w:pPr>
        <w:ind w:left="7320" w:hanging="36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ListParagraph" w:type="paragraph">
    <w:name w:val="List Paragraph"/>
    <w:basedOn w:val="Normal"/>
    <w:uiPriority w:val="1"/>
    <w:qFormat/>
    <w:pPr>
      <w:spacing w:before="2"/>
      <w:ind w:left="1441" w:right="358" w:hanging="361"/>
      <w:jc w:val="both"/>
    </w:pPr>
    <w:rPr>
      <w:rFonts w:ascii="Arial" w:hAnsi="Arial" w:eastAsia="Arial" w:cs="Arial"/>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whi24</dc:creator>
  <dcterms:created xsi:type="dcterms:W3CDTF">2025-05-01T16:10:50Z</dcterms:created>
  <dcterms:modified xsi:type="dcterms:W3CDTF">2025-05-01T16:10:50Z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2025-05-01T00:00:00Z</vt:filetime>
  </property>
  <property fmtid="{D5CDD505-2E9C-101B-9397-08002B2CF9AE}" pid="3" name="Creator">
    <vt:lpwstr>Adobe Acrobat (64-bit) 25.1.20474</vt:lpwstr>
  </property>
  <property fmtid="{D5CDD505-2E9C-101B-9397-08002B2CF9AE}" pid="4" name="LastSaved">
    <vt:filetime>2025-05-01T00:00:00Z</vt:filetime>
  </property>
  <property fmtid="{D5CDD505-2E9C-101B-9397-08002B2CF9AE}" pid="5" name="Producer">
    <vt:lpwstr>Adobe PDF Library 24.3.86</vt:lpwstr>
  </property>
</Properties>
</file>