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44ED" w14:textId="77777777" w:rsidR="00CB5A1E" w:rsidRPr="00546843" w:rsidRDefault="00CB5A1E" w:rsidP="00CB5A1E">
      <w:pPr>
        <w:pStyle w:val="PlainText"/>
        <w:rPr>
          <w:b/>
          <w:bCs/>
          <w:sz w:val="32"/>
          <w:szCs w:val="32"/>
        </w:rPr>
      </w:pPr>
      <w:r w:rsidRPr="00546843">
        <w:rPr>
          <w:b/>
          <w:bCs/>
          <w:sz w:val="32"/>
          <w:szCs w:val="32"/>
        </w:rPr>
        <w:t>Support for Residents Facing Financial Hardship</w:t>
      </w:r>
    </w:p>
    <w:p w14:paraId="2F12A43B" w14:textId="33C42749" w:rsidR="00CB5A1E" w:rsidRDefault="009E7955" w:rsidP="00CB5A1E">
      <w:pPr>
        <w:pStyle w:val="PlainText"/>
        <w:rPr>
          <w:rFonts w:cs="Calibri"/>
        </w:rPr>
      </w:pPr>
      <w:r w:rsidRPr="00E76296">
        <w:rPr>
          <w:rFonts w:cs="Calibri"/>
        </w:rPr>
        <w:t>The Department of Finance understands that the federal government shutdown may be causing financial strain for some residents. While most taxpayers have paid their 2025 Personal Property Taxes (due October 6, 2025), we are here to help those who need additional time or flexibility. The Department is committed to helping residents stay current while continuing to fund essential County services.</w:t>
      </w:r>
    </w:p>
    <w:p w14:paraId="1C65EE0D" w14:textId="77777777" w:rsidR="009E7955" w:rsidRPr="009F245C" w:rsidRDefault="009E7955" w:rsidP="00CB5A1E">
      <w:pPr>
        <w:pStyle w:val="PlainText"/>
        <w:rPr>
          <w:sz w:val="24"/>
          <w:szCs w:val="24"/>
        </w:rPr>
      </w:pPr>
    </w:p>
    <w:p w14:paraId="79334A4A" w14:textId="77777777" w:rsidR="00CB5A1E" w:rsidRPr="002D7DF3" w:rsidRDefault="00CB5A1E" w:rsidP="00CB5A1E">
      <w:pPr>
        <w:pStyle w:val="PlainText"/>
        <w:rPr>
          <w:b/>
          <w:bCs/>
          <w:color w:val="0070C0"/>
          <w:sz w:val="32"/>
          <w:szCs w:val="32"/>
        </w:rPr>
      </w:pPr>
      <w:r w:rsidRPr="002D7DF3">
        <w:rPr>
          <w:b/>
          <w:bCs/>
          <w:color w:val="0070C0"/>
          <w:sz w:val="32"/>
          <w:szCs w:val="32"/>
        </w:rPr>
        <w:t>AVAILABLE ASSISTANCE</w:t>
      </w:r>
    </w:p>
    <w:p w14:paraId="3FB5F770" w14:textId="77777777" w:rsidR="00CB5A1E" w:rsidRPr="009F245C" w:rsidRDefault="00CB5A1E" w:rsidP="00CB5A1E">
      <w:pPr>
        <w:pStyle w:val="PlainText"/>
        <w:rPr>
          <w:sz w:val="24"/>
          <w:szCs w:val="24"/>
        </w:rPr>
      </w:pPr>
    </w:p>
    <w:p w14:paraId="42E25596" w14:textId="77777777" w:rsidR="00CB5A1E" w:rsidRPr="0002021F" w:rsidRDefault="00CB5A1E" w:rsidP="00CB5A1E">
      <w:pPr>
        <w:pStyle w:val="PlainText"/>
        <w:rPr>
          <w:b/>
          <w:bCs/>
          <w:sz w:val="32"/>
          <w:szCs w:val="32"/>
        </w:rPr>
      </w:pPr>
      <w:r w:rsidRPr="0002021F">
        <w:rPr>
          <w:b/>
          <w:bCs/>
          <w:sz w:val="32"/>
          <w:szCs w:val="32"/>
        </w:rPr>
        <w:t>Installment Payment Plans</w:t>
      </w:r>
    </w:p>
    <w:p w14:paraId="7FFA236B" w14:textId="77777777" w:rsidR="00CB5A1E" w:rsidRPr="009F245C" w:rsidRDefault="00CB5A1E" w:rsidP="00CB5A1E">
      <w:pPr>
        <w:pStyle w:val="PlainText"/>
        <w:rPr>
          <w:sz w:val="24"/>
          <w:szCs w:val="24"/>
        </w:rPr>
      </w:pPr>
    </w:p>
    <w:p w14:paraId="3A2DCE76" w14:textId="4F2602A6" w:rsidR="00CB5A1E" w:rsidRPr="009F245C" w:rsidRDefault="00CB5A1E" w:rsidP="00CB5A1E">
      <w:pPr>
        <w:pStyle w:val="PlainText"/>
        <w:rPr>
          <w:sz w:val="24"/>
          <w:szCs w:val="24"/>
        </w:rPr>
      </w:pPr>
      <w:r w:rsidRPr="009F245C">
        <w:rPr>
          <w:sz w:val="24"/>
          <w:szCs w:val="24"/>
        </w:rPr>
        <w:t>Eligible taxpayers with only a 2025 Personal Property Tax balance may enroll in a 6- or 12-month installment plan through October 5, 2026.</w:t>
      </w:r>
    </w:p>
    <w:p w14:paraId="0A5651D2" w14:textId="77777777" w:rsidR="00CB5A1E" w:rsidRPr="009F245C" w:rsidRDefault="00CB5A1E" w:rsidP="00CB5A1E">
      <w:pPr>
        <w:pStyle w:val="PlainText"/>
        <w:rPr>
          <w:sz w:val="24"/>
          <w:szCs w:val="24"/>
        </w:rPr>
      </w:pPr>
      <w:r w:rsidRPr="009F245C">
        <w:rPr>
          <w:sz w:val="24"/>
          <w:szCs w:val="24"/>
        </w:rPr>
        <w:t>• No additional collection actions will be taken while the plan remains in good standing.</w:t>
      </w:r>
    </w:p>
    <w:p w14:paraId="2C8DADAC" w14:textId="77777777" w:rsidR="00CB5A1E" w:rsidRPr="009F245C" w:rsidRDefault="00CB5A1E" w:rsidP="00CB5A1E">
      <w:pPr>
        <w:pStyle w:val="PlainText"/>
        <w:rPr>
          <w:sz w:val="24"/>
          <w:szCs w:val="24"/>
        </w:rPr>
      </w:pPr>
      <w:r w:rsidRPr="009F245C">
        <w:rPr>
          <w:sz w:val="24"/>
          <w:szCs w:val="24"/>
        </w:rPr>
        <w:t>• Penalties already assessed remain in place.</w:t>
      </w:r>
    </w:p>
    <w:p w14:paraId="524C64CB" w14:textId="77777777" w:rsidR="00CB5A1E" w:rsidRPr="009F245C" w:rsidRDefault="00CB5A1E" w:rsidP="00CB5A1E">
      <w:pPr>
        <w:pStyle w:val="PlainText"/>
        <w:rPr>
          <w:sz w:val="24"/>
          <w:szCs w:val="24"/>
        </w:rPr>
      </w:pPr>
      <w:r w:rsidRPr="009F245C">
        <w:rPr>
          <w:sz w:val="24"/>
          <w:szCs w:val="24"/>
        </w:rPr>
        <w:t>• Interest will continue to accrue on unpaid balances.</w:t>
      </w:r>
    </w:p>
    <w:p w14:paraId="57C39A42" w14:textId="77777777" w:rsidR="00CB5A1E" w:rsidRPr="009F245C" w:rsidRDefault="00CB5A1E" w:rsidP="00CB5A1E">
      <w:pPr>
        <w:pStyle w:val="PlainText"/>
        <w:rPr>
          <w:sz w:val="24"/>
          <w:szCs w:val="24"/>
        </w:rPr>
      </w:pPr>
    </w:p>
    <w:p w14:paraId="0C2F9AAB" w14:textId="77777777" w:rsidR="00CB5A1E" w:rsidRPr="008F7B93" w:rsidRDefault="00CB5A1E" w:rsidP="00CB5A1E">
      <w:pPr>
        <w:pStyle w:val="PlainText"/>
        <w:rPr>
          <w:b/>
          <w:bCs/>
          <w:sz w:val="32"/>
          <w:szCs w:val="32"/>
        </w:rPr>
      </w:pPr>
      <w:r w:rsidRPr="008F7B93">
        <w:rPr>
          <w:b/>
          <w:bCs/>
          <w:sz w:val="32"/>
          <w:szCs w:val="32"/>
        </w:rPr>
        <w:t>Temporary Deferral of Enforcement Actions</w:t>
      </w:r>
    </w:p>
    <w:p w14:paraId="194D3D5B" w14:textId="77777777" w:rsidR="00CB5A1E" w:rsidRPr="009F245C" w:rsidRDefault="00CB5A1E" w:rsidP="00CB5A1E">
      <w:pPr>
        <w:pStyle w:val="PlainText"/>
        <w:rPr>
          <w:sz w:val="24"/>
          <w:szCs w:val="24"/>
        </w:rPr>
      </w:pPr>
    </w:p>
    <w:p w14:paraId="3EA28A40" w14:textId="3C19A5F1" w:rsidR="008526DB" w:rsidRPr="00E717A4" w:rsidRDefault="008526DB" w:rsidP="008526DB">
      <w:pPr>
        <w:spacing w:after="0"/>
        <w:rPr>
          <w:rFonts w:ascii="Calibri" w:hAnsi="Calibri" w:cs="Calibri"/>
        </w:rPr>
      </w:pPr>
      <w:r>
        <w:rPr>
          <w:rFonts w:ascii="Calibri" w:hAnsi="Calibri" w:cs="Calibri"/>
        </w:rPr>
        <w:t>The</w:t>
      </w:r>
      <w:r w:rsidRPr="00E717A4">
        <w:rPr>
          <w:rFonts w:ascii="Calibri" w:hAnsi="Calibri" w:cs="Calibri"/>
        </w:rPr>
        <w:t xml:space="preserve"> Department </w:t>
      </w:r>
      <w:r>
        <w:rPr>
          <w:rFonts w:ascii="Calibri" w:hAnsi="Calibri" w:cs="Calibri"/>
        </w:rPr>
        <w:t xml:space="preserve">of Finance </w:t>
      </w:r>
      <w:r w:rsidRPr="00E717A4">
        <w:rPr>
          <w:rFonts w:ascii="Calibri" w:hAnsi="Calibri" w:cs="Calibri"/>
        </w:rPr>
        <w:t>will defer enforcement actions for eligible 2025 balances until December 31, 2025.</w:t>
      </w:r>
      <w:r w:rsidR="00237382">
        <w:rPr>
          <w:rFonts w:ascii="Calibri" w:hAnsi="Calibri" w:cs="Calibri"/>
        </w:rPr>
        <w:t xml:space="preserve">  </w:t>
      </w:r>
      <w:r w:rsidR="004C18F6">
        <w:rPr>
          <w:rFonts w:ascii="Calibri" w:hAnsi="Calibri" w:cs="Calibri"/>
        </w:rPr>
        <w:t xml:space="preserve">For taxpayers with installment plans </w:t>
      </w:r>
      <w:r w:rsidR="004F015D">
        <w:rPr>
          <w:rFonts w:ascii="Calibri" w:hAnsi="Calibri" w:cs="Calibri"/>
        </w:rPr>
        <w:t>the deferral</w:t>
      </w:r>
      <w:r w:rsidR="004633BB">
        <w:rPr>
          <w:rFonts w:ascii="Calibri" w:hAnsi="Calibri" w:cs="Calibri"/>
        </w:rPr>
        <w:t xml:space="preserve"> of collection </w:t>
      </w:r>
      <w:r w:rsidR="004F015D">
        <w:rPr>
          <w:rFonts w:ascii="Calibri" w:hAnsi="Calibri" w:cs="Calibri"/>
        </w:rPr>
        <w:t xml:space="preserve"> will continue until October </w:t>
      </w:r>
      <w:r w:rsidR="004633BB">
        <w:rPr>
          <w:rFonts w:ascii="Calibri" w:hAnsi="Calibri" w:cs="Calibri"/>
        </w:rPr>
        <w:t xml:space="preserve">5, 2026. </w:t>
      </w:r>
      <w:r w:rsidRPr="00E717A4">
        <w:rPr>
          <w:rFonts w:ascii="Calibri" w:hAnsi="Calibri" w:cs="Calibri"/>
        </w:rPr>
        <w:t xml:space="preserve"> This includes:</w:t>
      </w:r>
    </w:p>
    <w:p w14:paraId="65307D3C" w14:textId="77777777" w:rsidR="00D32FFD" w:rsidRDefault="00CB5A1E" w:rsidP="00D32FFD">
      <w:pPr>
        <w:pStyle w:val="PlainText"/>
        <w:rPr>
          <w:sz w:val="24"/>
          <w:szCs w:val="24"/>
        </w:rPr>
      </w:pPr>
      <w:r w:rsidRPr="009F245C">
        <w:rPr>
          <w:sz w:val="24"/>
          <w:szCs w:val="24"/>
        </w:rPr>
        <w:t xml:space="preserve">• </w:t>
      </w:r>
      <w:r w:rsidR="00135F79" w:rsidRPr="009F245C">
        <w:rPr>
          <w:sz w:val="24"/>
          <w:szCs w:val="24"/>
        </w:rPr>
        <w:t>DMV registration holds, collection fees, and lien activities</w:t>
      </w:r>
      <w:r w:rsidR="00135F79">
        <w:rPr>
          <w:sz w:val="24"/>
          <w:szCs w:val="24"/>
        </w:rPr>
        <w:t>.</w:t>
      </w:r>
    </w:p>
    <w:p w14:paraId="673A68AF" w14:textId="3AE86A06" w:rsidR="007A6F7C" w:rsidRDefault="00D32FFD" w:rsidP="007A6F7C">
      <w:pPr>
        <w:pStyle w:val="PlainText"/>
        <w:rPr>
          <w:sz w:val="24"/>
          <w:szCs w:val="24"/>
        </w:rPr>
      </w:pPr>
      <w:r w:rsidRPr="009F245C">
        <w:rPr>
          <w:sz w:val="24"/>
          <w:szCs w:val="24"/>
        </w:rPr>
        <w:t>•</w:t>
      </w:r>
      <w:r>
        <w:rPr>
          <w:sz w:val="24"/>
          <w:szCs w:val="24"/>
        </w:rPr>
        <w:t xml:space="preserve"> </w:t>
      </w:r>
      <w:r w:rsidR="00CB5A1E" w:rsidRPr="009F245C">
        <w:rPr>
          <w:sz w:val="24"/>
          <w:szCs w:val="24"/>
        </w:rPr>
        <w:t>Past due notices will still be mailed to inform taxpayers of their balance and available options.</w:t>
      </w:r>
    </w:p>
    <w:p w14:paraId="5DEE2504" w14:textId="77777777" w:rsidR="00CB5A1E" w:rsidRPr="009F245C" w:rsidRDefault="00CB5A1E" w:rsidP="00CB5A1E">
      <w:pPr>
        <w:pStyle w:val="PlainText"/>
        <w:rPr>
          <w:sz w:val="24"/>
          <w:szCs w:val="24"/>
        </w:rPr>
      </w:pPr>
    </w:p>
    <w:p w14:paraId="430A029C" w14:textId="406BF693" w:rsidR="00B962F2" w:rsidRPr="002D7DF3" w:rsidRDefault="00CB5A1E" w:rsidP="00CB5A1E">
      <w:pPr>
        <w:pStyle w:val="PlainText"/>
        <w:rPr>
          <w:b/>
          <w:bCs/>
          <w:color w:val="0070C0"/>
          <w:sz w:val="24"/>
          <w:szCs w:val="24"/>
        </w:rPr>
      </w:pPr>
      <w:r w:rsidRPr="002D7DF3">
        <w:rPr>
          <w:b/>
          <w:bCs/>
          <w:color w:val="0070C0"/>
          <w:sz w:val="24"/>
          <w:szCs w:val="24"/>
        </w:rPr>
        <w:t>E</w:t>
      </w:r>
      <w:r w:rsidR="002D7DF3">
        <w:rPr>
          <w:b/>
          <w:bCs/>
          <w:color w:val="0070C0"/>
          <w:sz w:val="24"/>
          <w:szCs w:val="24"/>
        </w:rPr>
        <w:t>XCLUSIONS</w:t>
      </w:r>
    </w:p>
    <w:p w14:paraId="5284CC6A" w14:textId="073172B4" w:rsidR="00CB5A1E" w:rsidRPr="009F245C" w:rsidRDefault="00CB5A1E" w:rsidP="00CB5A1E">
      <w:pPr>
        <w:pStyle w:val="PlainText"/>
        <w:rPr>
          <w:sz w:val="24"/>
          <w:szCs w:val="24"/>
        </w:rPr>
      </w:pPr>
      <w:r w:rsidRPr="009F245C">
        <w:rPr>
          <w:sz w:val="24"/>
          <w:szCs w:val="24"/>
        </w:rPr>
        <w:t>• Taxpayers with delinquent balances for 2025 and prior years are not eligible for this program.</w:t>
      </w:r>
    </w:p>
    <w:p w14:paraId="02A43C92" w14:textId="424328EF" w:rsidR="00CB5A1E" w:rsidRPr="009F245C" w:rsidRDefault="00CB5A1E" w:rsidP="00CB5A1E">
      <w:pPr>
        <w:pStyle w:val="PlainText"/>
        <w:rPr>
          <w:sz w:val="24"/>
          <w:szCs w:val="24"/>
        </w:rPr>
      </w:pPr>
      <w:r w:rsidRPr="009F245C">
        <w:rPr>
          <w:sz w:val="24"/>
          <w:szCs w:val="24"/>
        </w:rPr>
        <w:t xml:space="preserve">• Existing collection actions (payment agreements, </w:t>
      </w:r>
      <w:proofErr w:type="gramStart"/>
      <w:r w:rsidRPr="009F245C">
        <w:rPr>
          <w:sz w:val="24"/>
          <w:szCs w:val="24"/>
        </w:rPr>
        <w:t>liens</w:t>
      </w:r>
      <w:proofErr w:type="gramEnd"/>
      <w:r w:rsidRPr="009F245C">
        <w:rPr>
          <w:sz w:val="24"/>
          <w:szCs w:val="24"/>
        </w:rPr>
        <w:t>, DMV holds, etc.) will remain in effect for these taxpayers until balances are paid in full.</w:t>
      </w:r>
    </w:p>
    <w:p w14:paraId="71B44D55" w14:textId="77777777" w:rsidR="00CB5A1E" w:rsidRPr="009F245C" w:rsidRDefault="00CB5A1E" w:rsidP="00CB5A1E">
      <w:pPr>
        <w:pStyle w:val="PlainText"/>
        <w:rPr>
          <w:sz w:val="24"/>
          <w:szCs w:val="24"/>
        </w:rPr>
      </w:pPr>
    </w:p>
    <w:p w14:paraId="24DDE343" w14:textId="17B074BB" w:rsidR="007870ED" w:rsidRPr="00B962F2" w:rsidRDefault="00CB5A1E" w:rsidP="00CB5A1E">
      <w:pPr>
        <w:pStyle w:val="PlainText"/>
        <w:rPr>
          <w:b/>
          <w:bCs/>
          <w:color w:val="0070C0"/>
          <w:sz w:val="24"/>
          <w:szCs w:val="24"/>
        </w:rPr>
      </w:pPr>
      <w:r w:rsidRPr="002D7DF3">
        <w:rPr>
          <w:b/>
          <w:bCs/>
          <w:color w:val="0070C0"/>
          <w:sz w:val="24"/>
          <w:szCs w:val="24"/>
        </w:rPr>
        <w:t>NEXT STEPS</w:t>
      </w:r>
    </w:p>
    <w:p w14:paraId="477FD5B0" w14:textId="6FC6543A" w:rsidR="00CB5A1E" w:rsidRDefault="00CB5A1E" w:rsidP="00CB5A1E">
      <w:pPr>
        <w:pStyle w:val="PlainText"/>
        <w:rPr>
          <w:sz w:val="24"/>
          <w:szCs w:val="24"/>
        </w:rPr>
      </w:pPr>
      <w:r w:rsidRPr="009F245C">
        <w:rPr>
          <w:sz w:val="24"/>
          <w:szCs w:val="24"/>
        </w:rPr>
        <w:t>To request a payment plan</w:t>
      </w:r>
      <w:r w:rsidR="00153996">
        <w:rPr>
          <w:sz w:val="24"/>
          <w:szCs w:val="24"/>
        </w:rPr>
        <w:t xml:space="preserve"> </w:t>
      </w:r>
      <w:r w:rsidR="00153996" w:rsidRPr="00E717A4">
        <w:rPr>
          <w:sz w:val="24"/>
          <w:szCs w:val="24"/>
        </w:rPr>
        <w:t>or for more information</w:t>
      </w:r>
      <w:r w:rsidRPr="009F245C">
        <w:rPr>
          <w:sz w:val="24"/>
          <w:szCs w:val="24"/>
        </w:rPr>
        <w:t xml:space="preserve">, </w:t>
      </w:r>
      <w:r w:rsidR="00092D4B" w:rsidRPr="009F245C">
        <w:rPr>
          <w:sz w:val="24"/>
          <w:szCs w:val="24"/>
        </w:rPr>
        <w:t>contact:</w:t>
      </w:r>
      <w:r w:rsidRPr="009F245C">
        <w:rPr>
          <w:sz w:val="24"/>
          <w:szCs w:val="24"/>
        </w:rPr>
        <w:t xml:space="preserve"> Tax Administration Division • </w:t>
      </w:r>
      <w:r w:rsidRPr="009F245C">
        <w:rPr>
          <w:rFonts w:ascii="Segoe UI Emoji" w:hAnsi="Segoe UI Emoji" w:cs="Segoe UI Emoji"/>
          <w:sz w:val="24"/>
          <w:szCs w:val="24"/>
        </w:rPr>
        <w:t>📞</w:t>
      </w:r>
      <w:r w:rsidRPr="009F245C">
        <w:rPr>
          <w:sz w:val="24"/>
          <w:szCs w:val="24"/>
        </w:rPr>
        <w:t xml:space="preserve"> 703-792-6710 • </w:t>
      </w:r>
      <w:r w:rsidRPr="009F245C">
        <w:rPr>
          <w:rFonts w:ascii="Segoe UI Emoji" w:hAnsi="Segoe UI Emoji" w:cs="Segoe UI Emoji"/>
          <w:sz w:val="24"/>
          <w:szCs w:val="24"/>
        </w:rPr>
        <w:t>🌐</w:t>
      </w:r>
      <w:r w:rsidRPr="009F245C">
        <w:rPr>
          <w:sz w:val="24"/>
          <w:szCs w:val="24"/>
        </w:rPr>
        <w:t xml:space="preserve"> </w:t>
      </w:r>
      <w:hyperlink r:id="rId7" w:history="1">
        <w:r w:rsidRPr="009F245C">
          <w:rPr>
            <w:rStyle w:val="Hyperlink"/>
            <w:rFonts w:eastAsiaTheme="majorEastAsia"/>
            <w:sz w:val="24"/>
            <w:szCs w:val="24"/>
          </w:rPr>
          <w:t>www.pwcva.gov/finance/tax-administration</w:t>
        </w:r>
      </w:hyperlink>
    </w:p>
    <w:p w14:paraId="5B4B922E" w14:textId="77777777" w:rsidR="002D04EC" w:rsidRPr="009F245C" w:rsidRDefault="002D04EC" w:rsidP="002D04EC">
      <w:pPr>
        <w:pStyle w:val="PlainText"/>
        <w:rPr>
          <w:sz w:val="24"/>
          <w:szCs w:val="24"/>
        </w:rPr>
      </w:pPr>
      <w:r w:rsidRPr="009F245C">
        <w:rPr>
          <w:sz w:val="24"/>
          <w:szCs w:val="24"/>
        </w:rPr>
        <w:t>• Information will also be available on the County’s website.</w:t>
      </w:r>
    </w:p>
    <w:p w14:paraId="095EEC34" w14:textId="5C174398" w:rsidR="00546843" w:rsidRPr="009F245C" w:rsidRDefault="00546843" w:rsidP="002D04EC">
      <w:pPr>
        <w:pStyle w:val="PlainText"/>
        <w:rPr>
          <w:sz w:val="24"/>
          <w:szCs w:val="24"/>
        </w:rPr>
      </w:pPr>
    </w:p>
    <w:p w14:paraId="0E358B1F" w14:textId="77777777" w:rsidR="00CB5A1E" w:rsidRPr="009F245C" w:rsidRDefault="00CB5A1E" w:rsidP="00CB5A1E">
      <w:pPr>
        <w:pStyle w:val="PlainText"/>
        <w:rPr>
          <w:sz w:val="24"/>
          <w:szCs w:val="24"/>
        </w:rPr>
      </w:pPr>
    </w:p>
    <w:p w14:paraId="016BC3CB" w14:textId="77777777" w:rsidR="00CB5A1E" w:rsidRPr="002D7DF3" w:rsidRDefault="00CB5A1E" w:rsidP="00CB5A1E">
      <w:pPr>
        <w:pStyle w:val="PlainText"/>
        <w:rPr>
          <w:b/>
          <w:bCs/>
          <w:color w:val="0070C0"/>
          <w:sz w:val="24"/>
          <w:szCs w:val="24"/>
        </w:rPr>
      </w:pPr>
      <w:r w:rsidRPr="002D7DF3">
        <w:rPr>
          <w:b/>
          <w:bCs/>
          <w:color w:val="0070C0"/>
          <w:sz w:val="24"/>
          <w:szCs w:val="24"/>
        </w:rPr>
        <w:t>OUR COMMITMENT</w:t>
      </w:r>
    </w:p>
    <w:p w14:paraId="11395EA7" w14:textId="241F4E29" w:rsidR="00E652F0" w:rsidRDefault="00CB5A1E" w:rsidP="008526DB">
      <w:pPr>
        <w:pStyle w:val="PlainText"/>
      </w:pPr>
      <w:r w:rsidRPr="009F245C">
        <w:rPr>
          <w:sz w:val="24"/>
          <w:szCs w:val="24"/>
        </w:rPr>
        <w:t>The Department of Finance is dedicated to balancing compassion for residents facing hardship with the County’s responsibility to fund vital public services.  We appreciate your cooperation and encourage you to reach out if you need assistance.</w:t>
      </w:r>
    </w:p>
    <w:sectPr w:rsidR="00E652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3F76" w14:textId="77777777" w:rsidR="009D5110" w:rsidRDefault="009D5110" w:rsidP="003E1D79">
      <w:pPr>
        <w:spacing w:after="0" w:line="240" w:lineRule="auto"/>
      </w:pPr>
      <w:r>
        <w:separator/>
      </w:r>
    </w:p>
  </w:endnote>
  <w:endnote w:type="continuationSeparator" w:id="0">
    <w:p w14:paraId="6BB25A32" w14:textId="77777777" w:rsidR="009D5110" w:rsidRDefault="009D5110" w:rsidP="003E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1467" w14:textId="77777777" w:rsidR="000574DC" w:rsidRDefault="000574DC" w:rsidP="000574DC">
    <w:pPr>
      <w:pStyle w:val="Footer"/>
      <w:jc w:val="center"/>
    </w:pPr>
    <w:r>
      <w:rPr>
        <w:color w:val="6D6E70"/>
        <w:sz w:val="18"/>
      </w:rPr>
      <w:t>Prince William County Department of Finance | www.pwcva.gov/finance</w:t>
    </w:r>
  </w:p>
  <w:p w14:paraId="5E85B15B" w14:textId="77777777" w:rsidR="000574DC" w:rsidRDefault="00057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18C2" w14:textId="77777777" w:rsidR="009D5110" w:rsidRDefault="009D5110" w:rsidP="003E1D79">
      <w:pPr>
        <w:spacing w:after="0" w:line="240" w:lineRule="auto"/>
      </w:pPr>
      <w:r>
        <w:separator/>
      </w:r>
    </w:p>
  </w:footnote>
  <w:footnote w:type="continuationSeparator" w:id="0">
    <w:p w14:paraId="7A913722" w14:textId="77777777" w:rsidR="009D5110" w:rsidRDefault="009D5110" w:rsidP="003E1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DFE4" w14:textId="59D0EC86" w:rsidR="003E1D79" w:rsidRDefault="00C8101A" w:rsidP="00B11953">
    <w:pPr>
      <w:rPr>
        <w:rFonts w:ascii="Calibri" w:hAnsi="Calibri" w:cs="Calibri"/>
        <w:b/>
        <w:color w:val="004F8C"/>
        <w:sz w:val="28"/>
      </w:rPr>
    </w:pPr>
    <w:r>
      <w:rPr>
        <w:noProof/>
      </w:rPr>
      <w:drawing>
        <wp:inline distT="0" distB="0" distL="0" distR="0" wp14:anchorId="0809FA21" wp14:editId="48FDBBFE">
          <wp:extent cx="1770611" cy="393469"/>
          <wp:effectExtent l="0" t="0" r="1270" b="6985"/>
          <wp:docPr id="16" name="Picture 1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8918" cy="401982"/>
                  </a:xfrm>
                  <a:prstGeom prst="rect">
                    <a:avLst/>
                  </a:prstGeom>
                </pic:spPr>
              </pic:pic>
            </a:graphicData>
          </a:graphic>
        </wp:inline>
      </w:drawing>
    </w:r>
  </w:p>
  <w:p w14:paraId="6BB7CD00" w14:textId="2911B6C5" w:rsidR="00D902E9" w:rsidRPr="00B11953" w:rsidRDefault="00D902E9" w:rsidP="00D902E9">
    <w:pPr>
      <w:jc w:val="center"/>
      <w:rPr>
        <w:rFonts w:ascii="Calibri" w:hAnsi="Calibri" w:cs="Calibri"/>
        <w:sz w:val="32"/>
        <w:szCs w:val="32"/>
      </w:rPr>
    </w:pPr>
    <w:r w:rsidRPr="00B11953">
      <w:rPr>
        <w:rFonts w:ascii="Calibri" w:hAnsi="Calibri" w:cs="Calibri"/>
        <w:b/>
        <w:sz w:val="32"/>
        <w:szCs w:val="32"/>
      </w:rPr>
      <w:t>IMPORTANT INFORMATION FOR TAXPAYERS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6078"/>
    <w:multiLevelType w:val="hybridMultilevel"/>
    <w:tmpl w:val="272E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41397"/>
    <w:multiLevelType w:val="hybridMultilevel"/>
    <w:tmpl w:val="7CE4D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C45F4"/>
    <w:multiLevelType w:val="hybridMultilevel"/>
    <w:tmpl w:val="CC7C4034"/>
    <w:lvl w:ilvl="0" w:tplc="A49EDA08">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510AA9"/>
    <w:multiLevelType w:val="hybridMultilevel"/>
    <w:tmpl w:val="7E88A736"/>
    <w:lvl w:ilvl="0" w:tplc="FB1AA61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E7393"/>
    <w:multiLevelType w:val="hybridMultilevel"/>
    <w:tmpl w:val="1A963500"/>
    <w:lvl w:ilvl="0" w:tplc="A49EDA0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D2B5B"/>
    <w:multiLevelType w:val="hybridMultilevel"/>
    <w:tmpl w:val="0C8E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57865"/>
    <w:multiLevelType w:val="hybridMultilevel"/>
    <w:tmpl w:val="3F60C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6204031">
    <w:abstractNumId w:val="6"/>
  </w:num>
  <w:num w:numId="2" w16cid:durableId="1569026709">
    <w:abstractNumId w:val="3"/>
  </w:num>
  <w:num w:numId="3" w16cid:durableId="1455250693">
    <w:abstractNumId w:val="4"/>
  </w:num>
  <w:num w:numId="4" w16cid:durableId="791481368">
    <w:abstractNumId w:val="2"/>
  </w:num>
  <w:num w:numId="5" w16cid:durableId="193349092">
    <w:abstractNumId w:val="1"/>
  </w:num>
  <w:num w:numId="6" w16cid:durableId="1964723695">
    <w:abstractNumId w:val="0"/>
  </w:num>
  <w:num w:numId="7" w16cid:durableId="1013873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1E"/>
    <w:rsid w:val="0002021F"/>
    <w:rsid w:val="000574DC"/>
    <w:rsid w:val="00092D4B"/>
    <w:rsid w:val="00135F79"/>
    <w:rsid w:val="00153996"/>
    <w:rsid w:val="00237382"/>
    <w:rsid w:val="002D04EC"/>
    <w:rsid w:val="002D7DF3"/>
    <w:rsid w:val="0036515B"/>
    <w:rsid w:val="003774AD"/>
    <w:rsid w:val="003E1D79"/>
    <w:rsid w:val="004633BB"/>
    <w:rsid w:val="004B53B4"/>
    <w:rsid w:val="004C18F6"/>
    <w:rsid w:val="004F015D"/>
    <w:rsid w:val="00546843"/>
    <w:rsid w:val="007870ED"/>
    <w:rsid w:val="007A6F7C"/>
    <w:rsid w:val="008526DB"/>
    <w:rsid w:val="008F7B93"/>
    <w:rsid w:val="009D5110"/>
    <w:rsid w:val="009E7955"/>
    <w:rsid w:val="009F245C"/>
    <w:rsid w:val="00B11953"/>
    <w:rsid w:val="00B962F2"/>
    <w:rsid w:val="00C173A0"/>
    <w:rsid w:val="00C337BD"/>
    <w:rsid w:val="00C8101A"/>
    <w:rsid w:val="00CB5A1E"/>
    <w:rsid w:val="00D32FFD"/>
    <w:rsid w:val="00D73104"/>
    <w:rsid w:val="00D902E9"/>
    <w:rsid w:val="00DD13A0"/>
    <w:rsid w:val="00DE7476"/>
    <w:rsid w:val="00E07155"/>
    <w:rsid w:val="00E652F0"/>
    <w:rsid w:val="00E8238B"/>
    <w:rsid w:val="00F1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492C"/>
  <w15:chartTrackingRefBased/>
  <w15:docId w15:val="{4AB480B3-CAE4-4A30-8BB9-E9CDCFB0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1E"/>
    <w:rPr>
      <w:rFonts w:eastAsiaTheme="majorEastAsia" w:cstheme="majorBidi"/>
      <w:color w:val="272727" w:themeColor="text1" w:themeTint="D8"/>
    </w:rPr>
  </w:style>
  <w:style w:type="paragraph" w:styleId="Title">
    <w:name w:val="Title"/>
    <w:basedOn w:val="Normal"/>
    <w:next w:val="Normal"/>
    <w:link w:val="TitleChar"/>
    <w:uiPriority w:val="10"/>
    <w:qFormat/>
    <w:rsid w:val="00CB5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1E"/>
    <w:pPr>
      <w:spacing w:before="160"/>
      <w:jc w:val="center"/>
    </w:pPr>
    <w:rPr>
      <w:i/>
      <w:iCs/>
      <w:color w:val="404040" w:themeColor="text1" w:themeTint="BF"/>
    </w:rPr>
  </w:style>
  <w:style w:type="character" w:customStyle="1" w:styleId="QuoteChar">
    <w:name w:val="Quote Char"/>
    <w:basedOn w:val="DefaultParagraphFont"/>
    <w:link w:val="Quote"/>
    <w:uiPriority w:val="29"/>
    <w:rsid w:val="00CB5A1E"/>
    <w:rPr>
      <w:i/>
      <w:iCs/>
      <w:color w:val="404040" w:themeColor="text1" w:themeTint="BF"/>
    </w:rPr>
  </w:style>
  <w:style w:type="paragraph" w:styleId="ListParagraph">
    <w:name w:val="List Paragraph"/>
    <w:basedOn w:val="Normal"/>
    <w:uiPriority w:val="34"/>
    <w:qFormat/>
    <w:rsid w:val="00CB5A1E"/>
    <w:pPr>
      <w:ind w:left="720"/>
      <w:contextualSpacing/>
    </w:pPr>
  </w:style>
  <w:style w:type="character" w:styleId="IntenseEmphasis">
    <w:name w:val="Intense Emphasis"/>
    <w:basedOn w:val="DefaultParagraphFont"/>
    <w:uiPriority w:val="21"/>
    <w:qFormat/>
    <w:rsid w:val="00CB5A1E"/>
    <w:rPr>
      <w:i/>
      <w:iCs/>
      <w:color w:val="0F4761" w:themeColor="accent1" w:themeShade="BF"/>
    </w:rPr>
  </w:style>
  <w:style w:type="paragraph" w:styleId="IntenseQuote">
    <w:name w:val="Intense Quote"/>
    <w:basedOn w:val="Normal"/>
    <w:next w:val="Normal"/>
    <w:link w:val="IntenseQuoteChar"/>
    <w:uiPriority w:val="30"/>
    <w:qFormat/>
    <w:rsid w:val="00CB5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A1E"/>
    <w:rPr>
      <w:i/>
      <w:iCs/>
      <w:color w:val="0F4761" w:themeColor="accent1" w:themeShade="BF"/>
    </w:rPr>
  </w:style>
  <w:style w:type="character" w:styleId="IntenseReference">
    <w:name w:val="Intense Reference"/>
    <w:basedOn w:val="DefaultParagraphFont"/>
    <w:uiPriority w:val="32"/>
    <w:qFormat/>
    <w:rsid w:val="00CB5A1E"/>
    <w:rPr>
      <w:b/>
      <w:bCs/>
      <w:smallCaps/>
      <w:color w:val="0F4761" w:themeColor="accent1" w:themeShade="BF"/>
      <w:spacing w:val="5"/>
    </w:rPr>
  </w:style>
  <w:style w:type="character" w:styleId="Hyperlink">
    <w:name w:val="Hyperlink"/>
    <w:basedOn w:val="DefaultParagraphFont"/>
    <w:uiPriority w:val="99"/>
    <w:semiHidden/>
    <w:unhideWhenUsed/>
    <w:rsid w:val="00CB5A1E"/>
    <w:rPr>
      <w:color w:val="467886" w:themeColor="hyperlink"/>
      <w:u w:val="single"/>
    </w:rPr>
  </w:style>
  <w:style w:type="paragraph" w:styleId="PlainText">
    <w:name w:val="Plain Text"/>
    <w:basedOn w:val="Normal"/>
    <w:link w:val="PlainTextChar"/>
    <w:uiPriority w:val="99"/>
    <w:unhideWhenUsed/>
    <w:rsid w:val="00CB5A1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CB5A1E"/>
    <w:rPr>
      <w:rFonts w:ascii="Calibri" w:eastAsia="Times New Roman" w:hAnsi="Calibri"/>
      <w:sz w:val="22"/>
      <w:szCs w:val="21"/>
    </w:rPr>
  </w:style>
  <w:style w:type="paragraph" w:styleId="Header">
    <w:name w:val="header"/>
    <w:basedOn w:val="Normal"/>
    <w:link w:val="HeaderChar"/>
    <w:uiPriority w:val="99"/>
    <w:unhideWhenUsed/>
    <w:rsid w:val="003E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79"/>
  </w:style>
  <w:style w:type="paragraph" w:styleId="Footer">
    <w:name w:val="footer"/>
    <w:basedOn w:val="Normal"/>
    <w:link w:val="FooterChar"/>
    <w:uiPriority w:val="99"/>
    <w:unhideWhenUsed/>
    <w:rsid w:val="003E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wcva.gov/finance/tax-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Prince William County</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Charles</dc:creator>
  <cp:keywords/>
  <dc:description/>
  <cp:lastModifiedBy>Hunter, Charles</cp:lastModifiedBy>
  <cp:revision>8</cp:revision>
  <dcterms:created xsi:type="dcterms:W3CDTF">2025-11-04T14:32:00Z</dcterms:created>
  <dcterms:modified xsi:type="dcterms:W3CDTF">2025-11-04T14:36:00Z</dcterms:modified>
</cp:coreProperties>
</file>